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83" w:rsidRPr="00256396" w:rsidRDefault="00830983" w:rsidP="002563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6396">
        <w:rPr>
          <w:rFonts w:ascii="Times New Roman" w:hAnsi="Times New Roman" w:cs="Times New Roman"/>
          <w:b/>
          <w:sz w:val="28"/>
          <w:szCs w:val="28"/>
        </w:rPr>
        <w:t>УДК 616.36-005-089:615.272]-092.9</w:t>
      </w:r>
      <w:proofErr w:type="gramEnd"/>
    </w:p>
    <w:p w:rsidR="00256396" w:rsidRDefault="00256396" w:rsidP="002563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2F1" w:rsidRPr="00256396" w:rsidRDefault="003862F1" w:rsidP="002563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396">
        <w:rPr>
          <w:rFonts w:ascii="Times New Roman" w:hAnsi="Times New Roman" w:cs="Times New Roman"/>
          <w:b/>
          <w:sz w:val="28"/>
          <w:szCs w:val="28"/>
        </w:rPr>
        <w:t>Цымбалюк</w:t>
      </w:r>
      <w:proofErr w:type="spellEnd"/>
      <w:r w:rsidRPr="00256396">
        <w:rPr>
          <w:rFonts w:ascii="Times New Roman" w:hAnsi="Times New Roman" w:cs="Times New Roman"/>
          <w:b/>
          <w:sz w:val="28"/>
          <w:szCs w:val="28"/>
        </w:rPr>
        <w:t xml:space="preserve"> Игорь Юрьевич</w:t>
      </w:r>
    </w:p>
    <w:p w:rsidR="003862F1" w:rsidRPr="00256396" w:rsidRDefault="00172F04" w:rsidP="0025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396">
        <w:rPr>
          <w:rFonts w:ascii="Times New Roman" w:hAnsi="Times New Roman" w:cs="Times New Roman"/>
          <w:sz w:val="28"/>
          <w:szCs w:val="28"/>
        </w:rPr>
        <w:t>а</w:t>
      </w:r>
      <w:r w:rsidR="003862F1" w:rsidRPr="00256396">
        <w:rPr>
          <w:rFonts w:ascii="Times New Roman" w:hAnsi="Times New Roman" w:cs="Times New Roman"/>
          <w:sz w:val="28"/>
          <w:szCs w:val="28"/>
        </w:rPr>
        <w:t>спирант</w:t>
      </w:r>
      <w:r w:rsidRPr="00256396">
        <w:rPr>
          <w:rFonts w:ascii="Times New Roman" w:hAnsi="Times New Roman" w:cs="Times New Roman"/>
          <w:sz w:val="28"/>
          <w:szCs w:val="28"/>
        </w:rPr>
        <w:t xml:space="preserve">, </w:t>
      </w:r>
      <w:r w:rsidR="003862F1" w:rsidRPr="00256396">
        <w:rPr>
          <w:rFonts w:ascii="Times New Roman" w:hAnsi="Times New Roman" w:cs="Times New Roman"/>
          <w:sz w:val="28"/>
          <w:szCs w:val="28"/>
        </w:rPr>
        <w:t>кафедр</w:t>
      </w:r>
      <w:r w:rsidRPr="00256396">
        <w:rPr>
          <w:rFonts w:ascii="Times New Roman" w:hAnsi="Times New Roman" w:cs="Times New Roman"/>
          <w:sz w:val="28"/>
          <w:szCs w:val="28"/>
        </w:rPr>
        <w:t xml:space="preserve">а </w:t>
      </w:r>
      <w:r w:rsidR="003862F1" w:rsidRPr="00256396">
        <w:rPr>
          <w:rFonts w:ascii="Times New Roman" w:hAnsi="Times New Roman" w:cs="Times New Roman"/>
          <w:sz w:val="28"/>
          <w:szCs w:val="28"/>
        </w:rPr>
        <w:t>хирургии №2 ФПК и ППС</w:t>
      </w:r>
    </w:p>
    <w:p w:rsidR="003862F1" w:rsidRPr="00256396" w:rsidRDefault="003862F1" w:rsidP="0025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396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3862F1" w:rsidRPr="00256396" w:rsidRDefault="00F6730E" w:rsidP="0025639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igor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ts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inbox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467FF" w:rsidRPr="00256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62F1" w:rsidRPr="00256396" w:rsidRDefault="003862F1" w:rsidP="002563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56396">
        <w:rPr>
          <w:rFonts w:ascii="Times New Roman" w:hAnsi="Times New Roman" w:cs="Times New Roman"/>
          <w:b/>
          <w:sz w:val="28"/>
          <w:szCs w:val="28"/>
          <w:lang w:val="en-US"/>
        </w:rPr>
        <w:t>Tsymbalyuk</w:t>
      </w:r>
      <w:proofErr w:type="spellEnd"/>
      <w:r w:rsidRPr="00256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Igor </w:t>
      </w:r>
      <w:proofErr w:type="spellStart"/>
      <w:r w:rsidRPr="00256396">
        <w:rPr>
          <w:rFonts w:ascii="Times New Roman" w:hAnsi="Times New Roman" w:cs="Times New Roman"/>
          <w:b/>
          <w:sz w:val="28"/>
          <w:szCs w:val="28"/>
          <w:lang w:val="en-US"/>
        </w:rPr>
        <w:t>Yurievich</w:t>
      </w:r>
      <w:proofErr w:type="spellEnd"/>
    </w:p>
    <w:p w:rsidR="005C1454" w:rsidRPr="00256396" w:rsidRDefault="00901AE5" w:rsidP="002563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6396">
        <w:rPr>
          <w:rFonts w:ascii="Times New Roman" w:hAnsi="Times New Roman" w:cs="Times New Roman"/>
          <w:sz w:val="28"/>
          <w:szCs w:val="28"/>
          <w:lang w:val="en-US"/>
        </w:rPr>
        <w:t>post-graduate</w:t>
      </w:r>
      <w:proofErr w:type="gramEnd"/>
      <w:r w:rsidRPr="00256396">
        <w:rPr>
          <w:rFonts w:ascii="Times New Roman" w:hAnsi="Times New Roman" w:cs="Times New Roman"/>
          <w:sz w:val="28"/>
          <w:szCs w:val="28"/>
          <w:lang w:val="en-US"/>
        </w:rPr>
        <w:t>, d</w:t>
      </w:r>
      <w:r w:rsidR="005C1454" w:rsidRPr="00256396">
        <w:rPr>
          <w:rFonts w:ascii="Times New Roman" w:hAnsi="Times New Roman" w:cs="Times New Roman"/>
          <w:sz w:val="28"/>
          <w:szCs w:val="28"/>
          <w:lang w:val="en-US"/>
        </w:rPr>
        <w:t>epartment of Surgery №2 the FAT and ORP</w:t>
      </w:r>
    </w:p>
    <w:p w:rsidR="003862F1" w:rsidRPr="00256396" w:rsidRDefault="005C1454" w:rsidP="00256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6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FSBEI HE </w:t>
      </w:r>
      <w:proofErr w:type="spellStart"/>
      <w:r w:rsidRPr="00256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KubSMU</w:t>
      </w:r>
      <w:proofErr w:type="spellEnd"/>
      <w:r w:rsidRPr="00256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Ministry of Public Health Care of Russia</w:t>
      </w:r>
    </w:p>
    <w:p w:rsidR="005C1454" w:rsidRPr="00256396" w:rsidRDefault="00F6730E" w:rsidP="0025639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igor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ts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inbox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F467FF" w:rsidRPr="0025639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467FF" w:rsidRPr="00256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1454" w:rsidRPr="00256396" w:rsidRDefault="005C1454" w:rsidP="0025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454" w:rsidRDefault="00256396" w:rsidP="002563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ВЛИЯНИЕ ДИХЛОРАЦЕТАТА НАТРИЯ НА ИНТЕНСИВНОСТЬ СВОБОДНОРАДИКАЛЬНОГО ОКИСЛЕНИЯ ПРИ ВАСКУЛЯРНОЙ ЭКСКЛЮЗИИ ПЕЧЕНИ В ЭКСПЕРИМЕНТЕ </w:t>
      </w:r>
    </w:p>
    <w:p w:rsidR="00256396" w:rsidRPr="00256396" w:rsidRDefault="00256396" w:rsidP="002563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C2" w:rsidRPr="00256396" w:rsidRDefault="00256396" w:rsidP="002563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INFLUENCE OF SODIUM DICHLOROACETATE ON THE INTENSITY OF THE FREE-RADICAL</w:t>
      </w:r>
      <w:r w:rsidRPr="00256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OXIDATION IN EXPERIMENTAL CONDITIONS OF THE VASCULAR LIVER EXCLUSION </w:t>
      </w:r>
    </w:p>
    <w:p w:rsidR="003F2D9C" w:rsidRPr="00256396" w:rsidRDefault="003F2D9C" w:rsidP="002563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5207" w:rsidRPr="00256396" w:rsidRDefault="002C368B" w:rsidP="00256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bookmarkStart w:id="0" w:name="_GoBack"/>
      <w:bookmarkEnd w:id="0"/>
      <w:r w:rsidR="00945427" w:rsidRPr="00256396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830983" w:rsidRPr="00256396">
        <w:rPr>
          <w:rFonts w:ascii="Times New Roman" w:hAnsi="Times New Roman" w:cs="Times New Roman"/>
          <w:i/>
          <w:sz w:val="28"/>
          <w:szCs w:val="28"/>
        </w:rPr>
        <w:t xml:space="preserve">оиск и применение средств, обладающих тканевым протекторным действием, с целью повышения потенциала собственной антиоксидантной системы в условиях </w:t>
      </w:r>
      <w:proofErr w:type="spellStart"/>
      <w:r w:rsidR="00830983" w:rsidRPr="00256396">
        <w:rPr>
          <w:rFonts w:ascii="Times New Roman" w:hAnsi="Times New Roman" w:cs="Times New Roman"/>
          <w:i/>
          <w:sz w:val="28"/>
          <w:szCs w:val="28"/>
        </w:rPr>
        <w:t>васкулярной</w:t>
      </w:r>
      <w:proofErr w:type="spellEnd"/>
      <w:r w:rsidR="00830983" w:rsidRPr="002563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0983" w:rsidRPr="00256396">
        <w:rPr>
          <w:rFonts w:ascii="Times New Roman" w:hAnsi="Times New Roman" w:cs="Times New Roman"/>
          <w:i/>
          <w:sz w:val="28"/>
          <w:szCs w:val="28"/>
        </w:rPr>
        <w:t>эксклюзии</w:t>
      </w:r>
      <w:proofErr w:type="spellEnd"/>
      <w:r w:rsidR="00830983" w:rsidRPr="00256396">
        <w:rPr>
          <w:rFonts w:ascii="Times New Roman" w:hAnsi="Times New Roman" w:cs="Times New Roman"/>
          <w:i/>
          <w:sz w:val="28"/>
          <w:szCs w:val="28"/>
        </w:rPr>
        <w:t xml:space="preserve"> печени, удовлетворяю</w:t>
      </w:r>
      <w:r w:rsidR="00147354">
        <w:rPr>
          <w:rFonts w:ascii="Times New Roman" w:hAnsi="Times New Roman" w:cs="Times New Roman"/>
          <w:i/>
          <w:sz w:val="28"/>
          <w:szCs w:val="28"/>
        </w:rPr>
        <w:t>щих практическую медицину, являю</w:t>
      </w:r>
      <w:r w:rsidR="00830983" w:rsidRPr="00256396">
        <w:rPr>
          <w:rFonts w:ascii="Times New Roman" w:hAnsi="Times New Roman" w:cs="Times New Roman"/>
          <w:i/>
          <w:sz w:val="28"/>
          <w:szCs w:val="28"/>
        </w:rPr>
        <w:t xml:space="preserve">тся актуальной задачей хирургической </w:t>
      </w:r>
      <w:proofErr w:type="spellStart"/>
      <w:r w:rsidR="00830983" w:rsidRPr="00256396">
        <w:rPr>
          <w:rFonts w:ascii="Times New Roman" w:hAnsi="Times New Roman" w:cs="Times New Roman"/>
          <w:i/>
          <w:sz w:val="28"/>
          <w:szCs w:val="28"/>
        </w:rPr>
        <w:t>гепатологии</w:t>
      </w:r>
      <w:proofErr w:type="spellEnd"/>
      <w:r w:rsidR="00830983" w:rsidRPr="00256396">
        <w:rPr>
          <w:rFonts w:ascii="Times New Roman" w:hAnsi="Times New Roman" w:cs="Times New Roman"/>
          <w:i/>
          <w:sz w:val="28"/>
          <w:szCs w:val="28"/>
        </w:rPr>
        <w:t>.</w:t>
      </w:r>
      <w:r w:rsidR="003F2D9C" w:rsidRPr="002563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42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настояще</w:t>
      </w:r>
      <w:r w:rsidR="0094542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исследовани</w:t>
      </w:r>
      <w:r w:rsidR="0094542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</w:t>
      </w:r>
      <w:r w:rsidR="0094542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381A1B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лось </w:t>
      </w:r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влияни</w:t>
      </w:r>
      <w:r w:rsidR="0094542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внутрибрюшинного введения </w:t>
      </w:r>
      <w:proofErr w:type="spellStart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дихлорацетата</w:t>
      </w:r>
      <w:proofErr w:type="spellEnd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натрия на </w:t>
      </w:r>
      <w:r w:rsidR="003F2D9C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интенсивность </w:t>
      </w:r>
      <w:proofErr w:type="spellStart"/>
      <w:r w:rsidR="003F2D9C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свободнорадикального</w:t>
      </w:r>
      <w:proofErr w:type="spellEnd"/>
      <w:r w:rsidR="003F2D9C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окисления </w:t>
      </w:r>
      <w:r w:rsidR="00DD437C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</w:t>
      </w:r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моделирован</w:t>
      </w:r>
      <w:r w:rsidR="000F520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DD437C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proofErr w:type="spellStart"/>
      <w:r w:rsidR="000F520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васкулярной</w:t>
      </w:r>
      <w:proofErr w:type="spellEnd"/>
      <w:r w:rsidR="000F520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F520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эксклюзии</w:t>
      </w:r>
      <w:proofErr w:type="spellEnd"/>
      <w:r w:rsidR="000F520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печени</w:t>
      </w:r>
      <w:r w:rsidR="0094542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Полученные данные демонстрируют </w:t>
      </w:r>
      <w:proofErr w:type="spellStart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цитопротективные</w:t>
      </w:r>
      <w:proofErr w:type="spellEnd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свойства </w:t>
      </w:r>
      <w:proofErr w:type="spellStart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дихлорацетата</w:t>
      </w:r>
      <w:proofErr w:type="spellEnd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натрия в условиях развития </w:t>
      </w:r>
      <w:proofErr w:type="spellStart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ишемически-реперфузионного</w:t>
      </w:r>
      <w:proofErr w:type="spellEnd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синдрома на модели </w:t>
      </w:r>
      <w:proofErr w:type="spellStart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васкулярной</w:t>
      </w:r>
      <w:proofErr w:type="spellEnd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эксклюзии</w:t>
      </w:r>
      <w:proofErr w:type="spellEnd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печени </w:t>
      </w:r>
      <w:r w:rsidR="00945427" w:rsidRPr="00256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эксперименте.</w:t>
      </w:r>
    </w:p>
    <w:p w:rsidR="00830983" w:rsidRPr="00256396" w:rsidRDefault="00830983" w:rsidP="002563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5639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Ключевые слова:</w:t>
      </w:r>
      <w:r w:rsidR="00945427"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маневр </w:t>
      </w:r>
      <w:proofErr w:type="spellStart"/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>Прингла</w:t>
      </w:r>
      <w:proofErr w:type="spellEnd"/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>ишемически-реперфузионное</w:t>
      </w:r>
      <w:proofErr w:type="spellEnd"/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повреждение печени, </w:t>
      </w:r>
      <w:proofErr w:type="gramStart"/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>метаболическая</w:t>
      </w:r>
      <w:proofErr w:type="gramEnd"/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>цитопротекция</w:t>
      </w:r>
      <w:proofErr w:type="spellEnd"/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>дихлорацетат</w:t>
      </w:r>
      <w:proofErr w:type="spellEnd"/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натрия, </w:t>
      </w:r>
      <w:proofErr w:type="spellStart"/>
      <w:r w:rsidR="00945427"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>свободнорадикальное</w:t>
      </w:r>
      <w:proofErr w:type="spellEnd"/>
      <w:r w:rsidR="00945427"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окисление</w:t>
      </w:r>
      <w:r w:rsidRPr="0025639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30983" w:rsidRPr="00256396" w:rsidRDefault="002C368B" w:rsidP="00256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</w:t>
      </w:r>
      <w:r w:rsidRPr="002C368B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proofErr w:type="gramEnd"/>
      <w:r w:rsidR="00945427" w:rsidRPr="002563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30983" w:rsidRPr="002563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 is an urgent issue of practical </w:t>
      </w:r>
      <w:proofErr w:type="spellStart"/>
      <w:r w:rsidR="00830983" w:rsidRPr="00256396">
        <w:rPr>
          <w:rFonts w:ascii="Times New Roman" w:hAnsi="Times New Roman" w:cs="Times New Roman"/>
          <w:i/>
          <w:sz w:val="28"/>
          <w:szCs w:val="28"/>
          <w:lang w:val="en-US"/>
        </w:rPr>
        <w:t>hepatology</w:t>
      </w:r>
      <w:proofErr w:type="spellEnd"/>
      <w:r w:rsidR="00830983" w:rsidRPr="002563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find and to use means possessing the tissue protective properties to increase the potential of the own antioxidant system in conditions of the vascular liver exclusion which have to</w:t>
      </w:r>
      <w:r w:rsidR="00945427" w:rsidRPr="002563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satisfy the practical me</w:t>
      </w:r>
      <w:r w:rsidR="00BC17BA" w:rsidRPr="002563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dicine. </w:t>
      </w:r>
      <w:r w:rsidR="00BC17BA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In the present study the influence of the </w:t>
      </w:r>
      <w:proofErr w:type="spellStart"/>
      <w:r w:rsidR="00BC17BA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intraperitoneal</w:t>
      </w:r>
      <w:proofErr w:type="spellEnd"/>
      <w:r w:rsidR="00BC17BA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sodium </w:t>
      </w:r>
      <w:proofErr w:type="spellStart"/>
      <w:r w:rsidR="00BC17BA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dichloroacetate</w:t>
      </w:r>
      <w:proofErr w:type="spellEnd"/>
      <w:r w:rsidR="00BC17BA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injections on the intensity of the free-radical oxidation in conditions of modeling of the vascular liver exclusion has been researched.</w:t>
      </w:r>
      <w:r w:rsidR="00945427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The received data demonstrate the </w:t>
      </w:r>
      <w:proofErr w:type="spellStart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cytoprotective</w:t>
      </w:r>
      <w:proofErr w:type="spellEnd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properties of the sodium </w:t>
      </w:r>
      <w:proofErr w:type="spellStart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dichloroacetate</w:t>
      </w:r>
      <w:proofErr w:type="spellEnd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in conditions of the developing ischemic-</w:t>
      </w:r>
      <w:proofErr w:type="spellStart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reperfusive</w:t>
      </w:r>
      <w:proofErr w:type="spellEnd"/>
      <w:r w:rsidR="00830983" w:rsidRPr="00256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syndrome on the model of the vascular liver exclusion in experimental conditions. </w:t>
      </w:r>
    </w:p>
    <w:p w:rsidR="00830983" w:rsidRPr="00256396" w:rsidRDefault="00256396" w:rsidP="0025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Key</w:t>
      </w:r>
      <w:r w:rsidR="00830983" w:rsidRPr="00256396">
        <w:rPr>
          <w:rFonts w:ascii="Times New Roman" w:hAnsi="Times New Roman" w:cs="Times New Roman"/>
          <w:b/>
          <w:i/>
          <w:sz w:val="28"/>
          <w:szCs w:val="28"/>
          <w:lang w:val="en-US"/>
        </w:rPr>
        <w:t>words:</w:t>
      </w:r>
      <w:r w:rsidR="00830983" w:rsidRPr="002563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Pringle maneuver, hepatic ischemia reperfusion injury, metabolic </w:t>
      </w:r>
      <w:proofErr w:type="spellStart"/>
      <w:r w:rsidR="00830983" w:rsidRPr="00256396">
        <w:rPr>
          <w:rFonts w:ascii="Times New Roman" w:hAnsi="Times New Roman" w:cs="Times New Roman"/>
          <w:i/>
          <w:sz w:val="28"/>
          <w:szCs w:val="28"/>
          <w:lang w:val="en-US"/>
        </w:rPr>
        <w:t>cytoprotection</w:t>
      </w:r>
      <w:proofErr w:type="spellEnd"/>
      <w:r w:rsidR="00830983" w:rsidRPr="002563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sodium </w:t>
      </w:r>
      <w:proofErr w:type="spellStart"/>
      <w:r w:rsidR="00830983" w:rsidRPr="00256396">
        <w:rPr>
          <w:rFonts w:ascii="Times New Roman" w:hAnsi="Times New Roman" w:cs="Times New Roman"/>
          <w:i/>
          <w:sz w:val="28"/>
          <w:szCs w:val="28"/>
          <w:lang w:val="en-US"/>
        </w:rPr>
        <w:t>dichloroacetate</w:t>
      </w:r>
      <w:proofErr w:type="spellEnd"/>
      <w:r w:rsidR="00830983" w:rsidRPr="002563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945427" w:rsidRPr="00256396">
        <w:rPr>
          <w:rFonts w:ascii="Times New Roman" w:hAnsi="Times New Roman" w:cs="Times New Roman"/>
          <w:i/>
          <w:sz w:val="28"/>
          <w:szCs w:val="28"/>
          <w:lang w:val="en-US"/>
        </w:rPr>
        <w:t>free</w:t>
      </w:r>
      <w:r w:rsidR="00477EC2" w:rsidRPr="00256396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945427" w:rsidRPr="00256396">
        <w:rPr>
          <w:rFonts w:ascii="Times New Roman" w:hAnsi="Times New Roman" w:cs="Times New Roman"/>
          <w:i/>
          <w:sz w:val="28"/>
          <w:szCs w:val="28"/>
          <w:lang w:val="en-US"/>
        </w:rPr>
        <w:t>radical oxidation</w:t>
      </w:r>
      <w:r w:rsidR="00830983" w:rsidRPr="0025639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830983" w:rsidRPr="00256396" w:rsidRDefault="00830983" w:rsidP="00256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B3D5A" w:rsidRPr="00256396" w:rsidRDefault="00C75052" w:rsidP="00256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ВОЗ, треть взрослого населения планеты страдает теми или иными заболеваниями печени</w:t>
      </w:r>
      <w:r w:rsidR="00E1779C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43EF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радикального лечения тяжелых ее поражений</w:t>
      </w:r>
      <w:r w:rsidR="00E1779C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 терминальные диффузные заболевания различной этиологии и очаговые опухолевые образования, </w:t>
      </w:r>
      <w:r w:rsidR="005D43EF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мировой практике все шире использу</w:t>
      </w:r>
      <w:r w:rsidR="00AA0056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43EF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трансплантация</w:t>
      </w:r>
      <w:r w:rsidR="00E1779C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частичная резекция печени.</w:t>
      </w:r>
    </w:p>
    <w:p w:rsidR="0060300E" w:rsidRPr="00256396" w:rsidRDefault="00AD451F" w:rsidP="0025639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современной хирургической </w:t>
      </w:r>
      <w:proofErr w:type="spellStart"/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гепатологии</w:t>
      </w:r>
      <w:proofErr w:type="spellEnd"/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огромное значение придается профилактике кровопотери</w:t>
      </w:r>
      <w:r w:rsidR="004A7E3B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="004A7E3B" w:rsidRPr="00256396">
        <w:rPr>
          <w:rFonts w:ascii="Times New Roman" w:hAnsi="Times New Roman" w:cs="Times New Roman"/>
          <w:sz w:val="28"/>
          <w:szCs w:val="28"/>
        </w:rPr>
        <w:t>Для этой цели успешно использ</w:t>
      </w:r>
      <w:r w:rsidR="006F4D8F" w:rsidRPr="00256396">
        <w:rPr>
          <w:rFonts w:ascii="Times New Roman" w:hAnsi="Times New Roman" w:cs="Times New Roman"/>
          <w:sz w:val="28"/>
          <w:szCs w:val="28"/>
        </w:rPr>
        <w:t xml:space="preserve">уется современное оборудование, а </w:t>
      </w:r>
      <w:r w:rsidR="00297A8E" w:rsidRPr="00256396">
        <w:rPr>
          <w:rFonts w:ascii="Times New Roman" w:hAnsi="Times New Roman" w:cs="Times New Roman"/>
          <w:sz w:val="28"/>
          <w:szCs w:val="28"/>
        </w:rPr>
        <w:t>также техники сосудистого контроля</w:t>
      </w:r>
      <w:r w:rsidR="00867F7E" w:rsidRPr="00256396">
        <w:rPr>
          <w:rFonts w:ascii="Times New Roman" w:hAnsi="Times New Roman" w:cs="Times New Roman"/>
          <w:sz w:val="28"/>
          <w:szCs w:val="28"/>
        </w:rPr>
        <w:t xml:space="preserve"> </w:t>
      </w:r>
      <w:r w:rsidR="005C40B7" w:rsidRPr="00256396">
        <w:rPr>
          <w:rFonts w:ascii="Times New Roman" w:hAnsi="Times New Roman" w:cs="Times New Roman"/>
          <w:sz w:val="28"/>
          <w:szCs w:val="28"/>
        </w:rPr>
        <w:t>[</w:t>
      </w:r>
      <w:r w:rsidR="00306E7E" w:rsidRPr="00256396">
        <w:rPr>
          <w:rFonts w:ascii="Times New Roman" w:hAnsi="Times New Roman" w:cs="Times New Roman"/>
          <w:sz w:val="28"/>
          <w:szCs w:val="28"/>
        </w:rPr>
        <w:t>2</w:t>
      </w:r>
      <w:r w:rsidR="005C40B7" w:rsidRPr="00256396">
        <w:rPr>
          <w:rFonts w:ascii="Times New Roman" w:hAnsi="Times New Roman" w:cs="Times New Roman"/>
          <w:sz w:val="28"/>
          <w:szCs w:val="28"/>
        </w:rPr>
        <w:t>]</w:t>
      </w:r>
      <w:r w:rsidR="00297A8E" w:rsidRPr="00256396">
        <w:rPr>
          <w:rFonts w:ascii="Times New Roman" w:hAnsi="Times New Roman" w:cs="Times New Roman"/>
          <w:sz w:val="28"/>
          <w:szCs w:val="28"/>
        </w:rPr>
        <w:t xml:space="preserve"> – 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превентивн</w:t>
      </w:r>
      <w:r w:rsidR="004A7E3B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ая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сосудист</w:t>
      </w:r>
      <w:r w:rsidR="004A7E3B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ая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изоляци</w:t>
      </w:r>
      <w:r w:rsidR="004A7E3B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я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печени в различных</w:t>
      </w:r>
      <w:r w:rsidR="004A7E3B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ее 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вариантах в сочетании с</w:t>
      </w:r>
      <w:r w:rsidR="00C522ED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о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снижением центрального венозного давления и обработкой резекционной поверхности</w:t>
      </w:r>
      <w:r w:rsidR="00297A8E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препаратами на основе фибрина. Н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аиболее доступным и легко осуществимым является пережатие печеночно-двенадцатиперстной связки (ПДС), </w:t>
      </w:r>
      <w:r w:rsidR="00306E7E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внедренное </w:t>
      </w:r>
      <w:r w:rsidR="00A55939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ирландским хирургом </w:t>
      </w:r>
      <w:proofErr w:type="spellStart"/>
      <w:r w:rsidR="00A55939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Принглом</w:t>
      </w:r>
      <w:proofErr w:type="spellEnd"/>
      <w:r w:rsidR="00297A8E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AD451F" w:rsidRPr="00256396" w:rsidRDefault="00AD451F" w:rsidP="0025639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Такой вариант сосудистой изоляции позволяет редуцировать артериальный и портальный приток крови в печень</w:t>
      </w:r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без значимых </w:t>
      </w:r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гемодинамических нарушений. О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днако </w:t>
      </w:r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вследствие ишемии и последующей </w:t>
      </w:r>
      <w:proofErr w:type="spellStart"/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репер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фузи</w:t>
      </w:r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proofErr w:type="spellEnd"/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органа запускается каскад метаболических, морфологических и иммунологических изменений</w:t>
      </w:r>
      <w:r w:rsidR="009F09C5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[</w:t>
      </w:r>
      <w:r w:rsidR="00306E7E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5, 7</w:t>
      </w:r>
      <w:r w:rsidR="009F09C5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]</w:t>
      </w:r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, получи</w:t>
      </w:r>
      <w:r w:rsidR="004A7E3B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вших </w:t>
      </w:r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название </w:t>
      </w:r>
      <w:proofErr w:type="spellStart"/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ишемически-реперфузионн</w:t>
      </w:r>
      <w:r w:rsidR="004A7E3B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ого</w:t>
      </w:r>
      <w:proofErr w:type="spellEnd"/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синдром</w:t>
      </w:r>
      <w:r w:rsidR="004A7E3B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(ИРС)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4A7E3B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который 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потенциально может привести к развитию печеночной </w:t>
      </w:r>
      <w:proofErr w:type="gramStart"/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недостаточности</w:t>
      </w:r>
      <w:proofErr w:type="gramEnd"/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раннем послеоперационном периоде [</w:t>
      </w:r>
      <w:r w:rsidR="00306E7E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8</w:t>
      </w:r>
      <w:r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]</w:t>
      </w:r>
      <w:r w:rsidR="004A7E3B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что </w:t>
      </w:r>
      <w:r w:rsidR="00842B46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особенно опасно для пациентов с хроническим гепатитом и циррозом печени.</w:t>
      </w:r>
      <w:r w:rsidR="006F4D8F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F6C28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Кроме того, </w:t>
      </w:r>
      <w:r w:rsidR="00060AC1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ИРС </w:t>
      </w:r>
      <w:r w:rsidR="007F6C28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трансплантата разной степени выраженности присутствует при каждой трансплантации печени и вносит значительный вклад в раннюю послеоперационную его дисфункцию</w:t>
      </w:r>
      <w:r w:rsidR="00914C43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[</w:t>
      </w:r>
      <w:r w:rsidR="00306E7E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9</w:t>
      </w:r>
      <w:r w:rsidR="00914C43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]</w:t>
      </w:r>
      <w:r w:rsidR="007F6C28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DE73DF" w:rsidRPr="00256396" w:rsidRDefault="00147354" w:rsidP="0025639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 связи с этим актуа</w:t>
      </w:r>
      <w:r w:rsidRPr="00147354">
        <w:rPr>
          <w:rFonts w:ascii="Times New Roman" w:eastAsia="MS Mincho" w:hAnsi="Times New Roman" w:cs="Times New Roman"/>
          <w:sz w:val="28"/>
          <w:szCs w:val="28"/>
          <w:lang w:eastAsia="ja-JP"/>
        </w:rPr>
        <w:t>льны</w:t>
      </w:r>
      <w:r w:rsidR="00DE73DF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поиск и применение способов метаболической коррекции, способствующих минимизации последствий </w:t>
      </w:r>
      <w:proofErr w:type="spellStart"/>
      <w:r w:rsidR="00DE73DF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ишемически-реперфузионного</w:t>
      </w:r>
      <w:proofErr w:type="spellEnd"/>
      <w:r w:rsidR="00DE73DF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повреждения, уменьшая при этом тканевую гипоксию или подавляя интенсификацию </w:t>
      </w:r>
      <w:proofErr w:type="spellStart"/>
      <w:r w:rsidR="00DE73DF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свободнорадикальных</w:t>
      </w:r>
      <w:proofErr w:type="spellEnd"/>
      <w:r w:rsidR="00DE73DF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процессов</w:t>
      </w:r>
      <w:r w:rsidR="00FC7593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(СРП)</w:t>
      </w:r>
      <w:r w:rsidR="00DE73DF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момент восстановления кровотока [</w:t>
      </w:r>
      <w:r w:rsidR="00306E7E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3,</w:t>
      </w:r>
      <w:r w:rsidR="00A05CEF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4,</w:t>
      </w:r>
      <w:r w:rsidR="00DA2100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306E7E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8</w:t>
      </w:r>
      <w:r w:rsidR="00DE73DF" w:rsidRPr="00256396">
        <w:rPr>
          <w:rFonts w:ascii="Times New Roman" w:eastAsia="MS Mincho" w:hAnsi="Times New Roman" w:cs="Times New Roman"/>
          <w:sz w:val="28"/>
          <w:szCs w:val="28"/>
          <w:lang w:eastAsia="ja-JP"/>
        </w:rPr>
        <w:t>].</w:t>
      </w:r>
    </w:p>
    <w:p w:rsidR="00297A8E" w:rsidRPr="00256396" w:rsidRDefault="00297A8E" w:rsidP="0025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96">
        <w:rPr>
          <w:rFonts w:ascii="Times New Roman" w:hAnsi="Times New Roman" w:cs="Times New Roman"/>
          <w:sz w:val="28"/>
          <w:szCs w:val="28"/>
        </w:rPr>
        <w:t>Одной из ключевых мишеней на субклеточном уровне при ишемии является митохондрия, повреждаемая как при редуцировании кровотока в сосудах органа, так и при его восстановлении</w:t>
      </w:r>
      <w:r w:rsidR="00567693" w:rsidRPr="002563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Митохондриальное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окислительное повреждение усиливается образованием активных форм кислорода,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, факторов активации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[</w:t>
      </w:r>
      <w:r w:rsidR="007274FD" w:rsidRPr="00256396">
        <w:rPr>
          <w:rFonts w:ascii="Times New Roman" w:hAnsi="Times New Roman" w:cs="Times New Roman"/>
          <w:sz w:val="28"/>
          <w:szCs w:val="28"/>
        </w:rPr>
        <w:t>6</w:t>
      </w:r>
      <w:r w:rsidRPr="00256396">
        <w:rPr>
          <w:rFonts w:ascii="Times New Roman" w:hAnsi="Times New Roman" w:cs="Times New Roman"/>
          <w:sz w:val="28"/>
          <w:szCs w:val="28"/>
        </w:rPr>
        <w:t xml:space="preserve">]. В условиях тканевой гипоксии ферментные системы клеточного дыхания представляются потенциальной точкой коррекции. </w:t>
      </w:r>
    </w:p>
    <w:p w:rsidR="00297A8E" w:rsidRPr="00256396" w:rsidRDefault="00297A8E" w:rsidP="0025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96">
        <w:rPr>
          <w:rFonts w:ascii="Times New Roman" w:hAnsi="Times New Roman" w:cs="Times New Roman"/>
          <w:sz w:val="28"/>
          <w:szCs w:val="28"/>
        </w:rPr>
        <w:t xml:space="preserve">В связи с этим особый интерес приобретает исследование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дихлорацетата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натрия (ДХА), стимулирующего активность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пируватдегидрогеназного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комплекса [</w:t>
      </w:r>
      <w:r w:rsidR="00CD536F" w:rsidRPr="00256396">
        <w:rPr>
          <w:rFonts w:ascii="Times New Roman" w:hAnsi="Times New Roman" w:cs="Times New Roman"/>
          <w:sz w:val="28"/>
          <w:szCs w:val="28"/>
        </w:rPr>
        <w:t>1</w:t>
      </w:r>
      <w:r w:rsidR="007274FD" w:rsidRPr="00256396">
        <w:rPr>
          <w:rFonts w:ascii="Times New Roman" w:hAnsi="Times New Roman" w:cs="Times New Roman"/>
          <w:sz w:val="28"/>
          <w:szCs w:val="28"/>
        </w:rPr>
        <w:t>0</w:t>
      </w:r>
      <w:r w:rsidRPr="00256396">
        <w:rPr>
          <w:rFonts w:ascii="Times New Roman" w:hAnsi="Times New Roman" w:cs="Times New Roman"/>
          <w:sz w:val="28"/>
          <w:szCs w:val="28"/>
        </w:rPr>
        <w:t xml:space="preserve">], в качестве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митохондриального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цитопротектора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с целью возможной коррекции последствий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ишемически-реперфузионного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повреждения печени</w:t>
      </w:r>
      <w:r w:rsidR="005A339B" w:rsidRPr="00256396">
        <w:rPr>
          <w:rFonts w:ascii="Times New Roman" w:hAnsi="Times New Roman" w:cs="Times New Roman"/>
          <w:sz w:val="28"/>
          <w:szCs w:val="28"/>
        </w:rPr>
        <w:t xml:space="preserve"> </w:t>
      </w:r>
      <w:r w:rsidRPr="00256396">
        <w:rPr>
          <w:rFonts w:ascii="Times New Roman" w:hAnsi="Times New Roman" w:cs="Times New Roman"/>
          <w:sz w:val="28"/>
          <w:szCs w:val="28"/>
        </w:rPr>
        <w:t xml:space="preserve">в условиях ее </w:t>
      </w:r>
      <w:proofErr w:type="spellStart"/>
      <w:r w:rsidR="005A339B" w:rsidRPr="00256396">
        <w:rPr>
          <w:rFonts w:ascii="Times New Roman" w:hAnsi="Times New Roman" w:cs="Times New Roman"/>
          <w:sz w:val="28"/>
          <w:szCs w:val="28"/>
        </w:rPr>
        <w:t>васкулярной</w:t>
      </w:r>
      <w:proofErr w:type="spellEnd"/>
      <w:r w:rsidR="005A339B" w:rsidRPr="0025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39B" w:rsidRPr="00256396"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>.</w:t>
      </w:r>
      <w:r w:rsidR="00040343" w:rsidRPr="00256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19F" w:rsidRPr="00256396" w:rsidRDefault="0027119F" w:rsidP="00256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47364" w:rsidRPr="002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156A2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влияни</w:t>
      </w:r>
      <w:r w:rsidR="005B5123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56A2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123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интраперитонеального</w:t>
      </w:r>
      <w:proofErr w:type="spellEnd"/>
      <w:r w:rsidR="005B5123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6A2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</w:t>
      </w:r>
      <w:proofErr w:type="spellStart"/>
      <w:r w:rsidR="00CB2247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дихлорацетата</w:t>
      </w:r>
      <w:proofErr w:type="spellEnd"/>
      <w:r w:rsidR="00CB2247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</w:t>
      </w:r>
      <w:r w:rsidR="005156A2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F4D8F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интенсивность процессов </w:t>
      </w:r>
      <w:proofErr w:type="spellStart"/>
      <w:r w:rsidR="006F4D8F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свободнорадикального</w:t>
      </w:r>
      <w:proofErr w:type="spellEnd"/>
      <w:r w:rsidR="006F4D8F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окисления </w:t>
      </w:r>
      <w:r w:rsidR="00C52EA9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моделирования</w:t>
      </w:r>
      <w:r w:rsidR="005156A2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6A2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васкулярной</w:t>
      </w:r>
      <w:proofErr w:type="spellEnd"/>
      <w:r w:rsidR="005156A2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6A2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эксклюзии</w:t>
      </w:r>
      <w:proofErr w:type="spellEnd"/>
      <w:r w:rsidR="005156A2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</w:t>
      </w:r>
      <w:r w:rsidR="0087048E" w:rsidRPr="00256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123" w:rsidRPr="00256396" w:rsidRDefault="005B5123" w:rsidP="0025639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19F" w:rsidRPr="00256396" w:rsidRDefault="0027119F" w:rsidP="0025639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Материалы и методы</w:t>
      </w:r>
    </w:p>
    <w:p w:rsidR="00B6625B" w:rsidRPr="00256396" w:rsidRDefault="00B6625B" w:rsidP="0025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96">
        <w:rPr>
          <w:rFonts w:ascii="Times New Roman" w:hAnsi="Times New Roman" w:cs="Times New Roman"/>
          <w:sz w:val="28"/>
          <w:szCs w:val="28"/>
        </w:rPr>
        <w:t xml:space="preserve">Экспериментальное исследование проведено на 105 нелинейных крысах-самцах массой 230-260 г, содержавшихся в условиях вивария </w:t>
      </w:r>
      <w:r w:rsidRPr="00256396">
        <w:rPr>
          <w:rFonts w:ascii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256396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56396">
        <w:rPr>
          <w:rFonts w:ascii="Times New Roman" w:hAnsi="Times New Roman" w:cs="Times New Roman"/>
          <w:sz w:val="28"/>
          <w:szCs w:val="28"/>
          <w:lang w:eastAsia="ru-RU"/>
        </w:rPr>
        <w:t xml:space="preserve"> «Кубанский государственный медицинский университет»</w:t>
      </w:r>
      <w:r w:rsidRPr="00256396">
        <w:rPr>
          <w:rFonts w:ascii="Times New Roman" w:hAnsi="Times New Roman" w:cs="Times New Roman"/>
          <w:sz w:val="28"/>
          <w:szCs w:val="28"/>
        </w:rPr>
        <w:t xml:space="preserve"> Минздрава России в стандартной экспериментальной биологически чистой комнате при </w:t>
      </w:r>
      <w:r w:rsidRPr="0025639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56396">
        <w:rPr>
          <w:rFonts w:ascii="Times New Roman" w:hAnsi="Times New Roman" w:cs="Times New Roman"/>
          <w:sz w:val="28"/>
          <w:szCs w:val="28"/>
        </w:rPr>
        <w:t xml:space="preserve"> 22-24°</w:t>
      </w:r>
      <w:r w:rsidRPr="0025639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6396">
        <w:rPr>
          <w:rFonts w:ascii="Times New Roman" w:hAnsi="Times New Roman" w:cs="Times New Roman"/>
          <w:sz w:val="28"/>
          <w:szCs w:val="28"/>
        </w:rPr>
        <w:t xml:space="preserve"> и освещении 12 ч/12 ч – светлый/темный цикл. Все исследования проводили в одно и то же время суток в первой половине дня с соблюдением принципов, изложенных в «Конвенции по защите позвоночных животных, используемых для экспериментальных и других научных целей» (Страсбург, 1986).</w:t>
      </w:r>
    </w:p>
    <w:p w:rsidR="003776EB" w:rsidRPr="00256396" w:rsidRDefault="00B6625B" w:rsidP="0025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96">
        <w:rPr>
          <w:rFonts w:ascii="Times New Roman" w:hAnsi="Times New Roman" w:cs="Times New Roman"/>
          <w:sz w:val="28"/>
          <w:szCs w:val="28"/>
        </w:rPr>
        <w:t>Лабораторные живо</w:t>
      </w:r>
      <w:r w:rsidR="005A339B" w:rsidRPr="00256396">
        <w:rPr>
          <w:rFonts w:ascii="Times New Roman" w:hAnsi="Times New Roman" w:cs="Times New Roman"/>
          <w:sz w:val="28"/>
          <w:szCs w:val="28"/>
        </w:rPr>
        <w:t xml:space="preserve">тные были разделены на 7 групп. </w:t>
      </w:r>
      <w:r w:rsidRPr="00256396">
        <w:rPr>
          <w:rFonts w:ascii="Times New Roman" w:hAnsi="Times New Roman" w:cs="Times New Roman"/>
          <w:sz w:val="28"/>
          <w:szCs w:val="28"/>
        </w:rPr>
        <w:t xml:space="preserve">Все манипуляции проводились под общим обезболиванием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Золетилом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100 («</w:t>
      </w:r>
      <w:proofErr w:type="spellStart"/>
      <w:r w:rsidRPr="00256396">
        <w:rPr>
          <w:rFonts w:ascii="Times New Roman" w:hAnsi="Times New Roman" w:cs="Times New Roman"/>
          <w:sz w:val="28"/>
          <w:szCs w:val="28"/>
          <w:lang w:val="en-US"/>
        </w:rPr>
        <w:t>Virbac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>», Франция) в до</w:t>
      </w:r>
      <w:r w:rsidR="003776EB" w:rsidRPr="00256396">
        <w:rPr>
          <w:rFonts w:ascii="Times New Roman" w:hAnsi="Times New Roman" w:cs="Times New Roman"/>
          <w:sz w:val="28"/>
          <w:szCs w:val="28"/>
        </w:rPr>
        <w:t xml:space="preserve">зировке 15 мг/кг внутримышечно. Контрольную группу 1 (К) составили </w:t>
      </w:r>
      <w:proofErr w:type="spellStart"/>
      <w:r w:rsidR="003776EB" w:rsidRPr="00256396">
        <w:rPr>
          <w:rFonts w:ascii="Times New Roman" w:hAnsi="Times New Roman" w:cs="Times New Roman"/>
          <w:sz w:val="28"/>
          <w:szCs w:val="28"/>
        </w:rPr>
        <w:t>ложнооперированные</w:t>
      </w:r>
      <w:proofErr w:type="spellEnd"/>
      <w:r w:rsidR="003776EB" w:rsidRPr="00256396">
        <w:rPr>
          <w:rFonts w:ascii="Times New Roman" w:hAnsi="Times New Roman" w:cs="Times New Roman"/>
          <w:sz w:val="28"/>
          <w:szCs w:val="28"/>
        </w:rPr>
        <w:t xml:space="preserve"> крысы (</w:t>
      </w:r>
      <w:r w:rsidR="003776EB" w:rsidRPr="002563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76EB" w:rsidRPr="00256396">
        <w:rPr>
          <w:rFonts w:ascii="Times New Roman" w:hAnsi="Times New Roman" w:cs="Times New Roman"/>
          <w:sz w:val="28"/>
          <w:szCs w:val="28"/>
        </w:rPr>
        <w:t xml:space="preserve">=15), подвергавшиеся только лапаротомии. </w:t>
      </w:r>
      <w:proofErr w:type="gramStart"/>
      <w:r w:rsidR="003776EB" w:rsidRPr="00256396">
        <w:rPr>
          <w:rFonts w:ascii="Times New Roman" w:hAnsi="Times New Roman" w:cs="Times New Roman"/>
          <w:sz w:val="28"/>
          <w:szCs w:val="28"/>
        </w:rPr>
        <w:t xml:space="preserve">Животным опытных групп после лапаротомии </w:t>
      </w:r>
      <w:proofErr w:type="spellStart"/>
      <w:r w:rsidR="003776EB" w:rsidRPr="00256396">
        <w:rPr>
          <w:rFonts w:ascii="Times New Roman" w:hAnsi="Times New Roman" w:cs="Times New Roman"/>
          <w:sz w:val="28"/>
          <w:szCs w:val="28"/>
        </w:rPr>
        <w:t>интраперитонеально</w:t>
      </w:r>
      <w:proofErr w:type="spellEnd"/>
      <w:r w:rsidR="003776EB" w:rsidRPr="00256396">
        <w:rPr>
          <w:rFonts w:ascii="Times New Roman" w:hAnsi="Times New Roman" w:cs="Times New Roman"/>
          <w:sz w:val="28"/>
          <w:szCs w:val="28"/>
        </w:rPr>
        <w:t xml:space="preserve"> вводился ДХА в дозировке 30</w:t>
      </w:r>
      <w:r w:rsidR="000C0D2C" w:rsidRPr="00256396">
        <w:rPr>
          <w:rFonts w:ascii="Times New Roman" w:hAnsi="Times New Roman" w:cs="Times New Roman"/>
          <w:sz w:val="28"/>
          <w:szCs w:val="28"/>
        </w:rPr>
        <w:t xml:space="preserve"> </w:t>
      </w:r>
      <w:r w:rsidR="003776EB" w:rsidRPr="00256396">
        <w:rPr>
          <w:rFonts w:ascii="Times New Roman" w:hAnsi="Times New Roman" w:cs="Times New Roman"/>
          <w:sz w:val="28"/>
          <w:szCs w:val="28"/>
        </w:rPr>
        <w:t>мг</w:t>
      </w:r>
      <w:r w:rsidR="000C0D2C" w:rsidRPr="00256396">
        <w:rPr>
          <w:rFonts w:ascii="Times New Roman" w:hAnsi="Times New Roman" w:cs="Times New Roman"/>
          <w:sz w:val="28"/>
          <w:szCs w:val="28"/>
        </w:rPr>
        <w:t xml:space="preserve"> на 100 </w:t>
      </w:r>
      <w:r w:rsidR="003776EB" w:rsidRPr="00256396">
        <w:rPr>
          <w:rFonts w:ascii="Times New Roman" w:hAnsi="Times New Roman" w:cs="Times New Roman"/>
          <w:sz w:val="28"/>
          <w:szCs w:val="28"/>
        </w:rPr>
        <w:t xml:space="preserve">г массы тела животного, предварительно разведенный в 0,5 мл физиологического раствора, выделялась ПДС и пережималась на 10 минут [группа 2 (10'ДХА), </w:t>
      </w:r>
      <w:r w:rsidR="003776EB" w:rsidRPr="002563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76EB" w:rsidRPr="00256396">
        <w:rPr>
          <w:rFonts w:ascii="Times New Roman" w:hAnsi="Times New Roman" w:cs="Times New Roman"/>
          <w:sz w:val="28"/>
          <w:szCs w:val="28"/>
        </w:rPr>
        <w:t xml:space="preserve">=15], 15 минут [группа 3 (15'ДХА), </w:t>
      </w:r>
      <w:r w:rsidR="003776EB" w:rsidRPr="002563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76EB" w:rsidRPr="00256396">
        <w:rPr>
          <w:rFonts w:ascii="Times New Roman" w:hAnsi="Times New Roman" w:cs="Times New Roman"/>
          <w:sz w:val="28"/>
          <w:szCs w:val="28"/>
        </w:rPr>
        <w:t xml:space="preserve">=15] и 20 минут [группа 4 (20'ДХА), </w:t>
      </w:r>
      <w:r w:rsidR="003776EB" w:rsidRPr="002563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76EB" w:rsidRPr="00256396">
        <w:rPr>
          <w:rFonts w:ascii="Times New Roman" w:hAnsi="Times New Roman" w:cs="Times New Roman"/>
          <w:sz w:val="28"/>
          <w:szCs w:val="28"/>
        </w:rPr>
        <w:t>=15].</w:t>
      </w:r>
      <w:proofErr w:type="gramEnd"/>
      <w:r w:rsidR="003776EB" w:rsidRPr="00256396">
        <w:rPr>
          <w:rFonts w:ascii="Times New Roman" w:hAnsi="Times New Roman" w:cs="Times New Roman"/>
          <w:sz w:val="28"/>
          <w:szCs w:val="28"/>
        </w:rPr>
        <w:t xml:space="preserve"> Группы сравнения составили 45 крыс, которым также производилась лапаротомия, выделялась и пережималась ПДС на 10 минут [группа 5 (10'), </w:t>
      </w:r>
      <w:r w:rsidR="003776EB" w:rsidRPr="002563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76EB" w:rsidRPr="00256396">
        <w:rPr>
          <w:rFonts w:ascii="Times New Roman" w:hAnsi="Times New Roman" w:cs="Times New Roman"/>
          <w:sz w:val="28"/>
          <w:szCs w:val="28"/>
        </w:rPr>
        <w:t xml:space="preserve">=15], 15 минут [группа 6 (15'), </w:t>
      </w:r>
      <w:r w:rsidR="003776EB" w:rsidRPr="002563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76EB" w:rsidRPr="00256396">
        <w:rPr>
          <w:rFonts w:ascii="Times New Roman" w:hAnsi="Times New Roman" w:cs="Times New Roman"/>
          <w:sz w:val="28"/>
          <w:szCs w:val="28"/>
        </w:rPr>
        <w:t xml:space="preserve">=15] и 20 минут [группа 7 (20'), </w:t>
      </w:r>
      <w:r w:rsidR="003776EB" w:rsidRPr="002563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76EB" w:rsidRPr="00256396">
        <w:rPr>
          <w:rFonts w:ascii="Times New Roman" w:hAnsi="Times New Roman" w:cs="Times New Roman"/>
          <w:sz w:val="28"/>
          <w:szCs w:val="28"/>
        </w:rPr>
        <w:t xml:space="preserve">=15], но без введения ДХА. По окончании моделирования </w:t>
      </w:r>
      <w:proofErr w:type="spellStart"/>
      <w:r w:rsidR="003776EB" w:rsidRPr="00256396">
        <w:rPr>
          <w:rFonts w:ascii="Times New Roman" w:hAnsi="Times New Roman" w:cs="Times New Roman"/>
          <w:sz w:val="28"/>
          <w:szCs w:val="28"/>
        </w:rPr>
        <w:t>васкулярной</w:t>
      </w:r>
      <w:proofErr w:type="spellEnd"/>
      <w:r w:rsidR="003776EB" w:rsidRPr="0025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6EB" w:rsidRPr="00256396"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 w:rsidR="003776EB" w:rsidRPr="00256396">
        <w:rPr>
          <w:rFonts w:ascii="Times New Roman" w:hAnsi="Times New Roman" w:cs="Times New Roman"/>
          <w:sz w:val="28"/>
          <w:szCs w:val="28"/>
        </w:rPr>
        <w:t xml:space="preserve"> печени на 15 минуте </w:t>
      </w:r>
      <w:proofErr w:type="spellStart"/>
      <w:r w:rsidR="003776EB" w:rsidRPr="00256396">
        <w:rPr>
          <w:rFonts w:ascii="Times New Roman" w:hAnsi="Times New Roman" w:cs="Times New Roman"/>
          <w:sz w:val="28"/>
          <w:szCs w:val="28"/>
        </w:rPr>
        <w:t>реперфузии</w:t>
      </w:r>
      <w:proofErr w:type="spellEnd"/>
      <w:r w:rsidR="003776EB" w:rsidRPr="00256396">
        <w:rPr>
          <w:rFonts w:ascii="Times New Roman" w:hAnsi="Times New Roman" w:cs="Times New Roman"/>
          <w:sz w:val="28"/>
          <w:szCs w:val="28"/>
        </w:rPr>
        <w:t xml:space="preserve"> у животных всех групп забиралась печень и кровь из каудальной полой вены для лабораторных исследований. В качестве антикоагулянта использовался гепарин. Кровь подвергалась центрифугированию при 3000 </w:t>
      </w:r>
      <w:proofErr w:type="gramStart"/>
      <w:r w:rsidR="003776EB" w:rsidRPr="0025639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776EB" w:rsidRPr="00256396">
        <w:rPr>
          <w:rFonts w:ascii="Times New Roman" w:hAnsi="Times New Roman" w:cs="Times New Roman"/>
          <w:sz w:val="28"/>
          <w:szCs w:val="28"/>
        </w:rPr>
        <w:t xml:space="preserve">/мин в течение 10 минут, отбиралась плазма, а </w:t>
      </w:r>
      <w:proofErr w:type="spellStart"/>
      <w:r w:rsidR="003776EB" w:rsidRPr="00256396">
        <w:rPr>
          <w:rFonts w:ascii="Times New Roman" w:hAnsi="Times New Roman" w:cs="Times New Roman"/>
          <w:sz w:val="28"/>
          <w:szCs w:val="28"/>
        </w:rPr>
        <w:t>эритроцитарная</w:t>
      </w:r>
      <w:proofErr w:type="spellEnd"/>
      <w:r w:rsidR="003776EB" w:rsidRPr="00256396">
        <w:rPr>
          <w:rFonts w:ascii="Times New Roman" w:hAnsi="Times New Roman" w:cs="Times New Roman"/>
          <w:sz w:val="28"/>
          <w:szCs w:val="28"/>
        </w:rPr>
        <w:t xml:space="preserve"> масса трижды отмывалась физиологическим раствором. Печень подвергалась гомогенизации.</w:t>
      </w:r>
    </w:p>
    <w:p w:rsidR="00B6625B" w:rsidRPr="00256396" w:rsidRDefault="00EA7520" w:rsidP="0025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96">
        <w:rPr>
          <w:rFonts w:ascii="Times New Roman" w:hAnsi="Times New Roman" w:cs="Times New Roman"/>
          <w:sz w:val="28"/>
          <w:szCs w:val="28"/>
        </w:rPr>
        <w:t xml:space="preserve"> </w:t>
      </w:r>
      <w:r w:rsidR="00FB0EAD" w:rsidRPr="00256396">
        <w:rPr>
          <w:rFonts w:ascii="Times New Roman" w:hAnsi="Times New Roman" w:cs="Times New Roman"/>
          <w:sz w:val="28"/>
          <w:szCs w:val="28"/>
        </w:rPr>
        <w:t xml:space="preserve">Для оценки интенсивности </w:t>
      </w:r>
      <w:r w:rsidR="00FC7593" w:rsidRPr="00256396">
        <w:rPr>
          <w:rFonts w:ascii="Times New Roman" w:hAnsi="Times New Roman" w:cs="Times New Roman"/>
          <w:sz w:val="28"/>
          <w:szCs w:val="28"/>
        </w:rPr>
        <w:t>СРП</w:t>
      </w:r>
      <w:r w:rsidR="00FB0EAD" w:rsidRPr="00256396">
        <w:rPr>
          <w:rFonts w:ascii="Times New Roman" w:hAnsi="Times New Roman" w:cs="Times New Roman"/>
          <w:sz w:val="28"/>
          <w:szCs w:val="28"/>
        </w:rPr>
        <w:t xml:space="preserve"> в крови и </w:t>
      </w:r>
      <w:proofErr w:type="spellStart"/>
      <w:r w:rsidR="00FB0EAD" w:rsidRPr="00256396">
        <w:rPr>
          <w:rFonts w:ascii="Times New Roman" w:hAnsi="Times New Roman" w:cs="Times New Roman"/>
          <w:sz w:val="28"/>
          <w:szCs w:val="28"/>
        </w:rPr>
        <w:t>гомогенате</w:t>
      </w:r>
      <w:proofErr w:type="spellEnd"/>
      <w:r w:rsidR="00FB0EAD" w:rsidRPr="00256396">
        <w:rPr>
          <w:rFonts w:ascii="Times New Roman" w:hAnsi="Times New Roman" w:cs="Times New Roman"/>
          <w:sz w:val="28"/>
          <w:szCs w:val="28"/>
        </w:rPr>
        <w:t xml:space="preserve"> печени определяли содержание продуктов, образующихся в результате реакции с </w:t>
      </w:r>
      <w:proofErr w:type="spellStart"/>
      <w:r w:rsidR="00FB0EAD" w:rsidRPr="00256396">
        <w:rPr>
          <w:rFonts w:ascii="Times New Roman" w:hAnsi="Times New Roman" w:cs="Times New Roman"/>
          <w:sz w:val="28"/>
          <w:szCs w:val="28"/>
        </w:rPr>
        <w:t>тиобарбитуровой</w:t>
      </w:r>
      <w:proofErr w:type="spellEnd"/>
      <w:r w:rsidR="00FB0EAD" w:rsidRPr="00256396">
        <w:rPr>
          <w:rFonts w:ascii="Times New Roman" w:hAnsi="Times New Roman" w:cs="Times New Roman"/>
          <w:sz w:val="28"/>
          <w:szCs w:val="28"/>
        </w:rPr>
        <w:t xml:space="preserve"> кислотой (ТБК-РП)</w:t>
      </w:r>
      <w:r w:rsidR="000D3FC6" w:rsidRPr="00256396">
        <w:rPr>
          <w:rFonts w:ascii="Times New Roman" w:hAnsi="Times New Roman" w:cs="Times New Roman"/>
          <w:sz w:val="28"/>
          <w:szCs w:val="28"/>
        </w:rPr>
        <w:t>,</w:t>
      </w:r>
      <w:r w:rsidR="00FB0EAD" w:rsidRPr="00256396">
        <w:rPr>
          <w:rFonts w:ascii="Times New Roman" w:hAnsi="Times New Roman" w:cs="Times New Roman"/>
          <w:sz w:val="28"/>
          <w:szCs w:val="28"/>
        </w:rPr>
        <w:t xml:space="preserve"> и показатели максимума вспышки (МВХЛ) и площади </w:t>
      </w:r>
      <w:r w:rsidR="00FB0EAD" w:rsidRPr="00256396">
        <w:rPr>
          <w:rFonts w:ascii="Times New Roman" w:hAnsi="Times New Roman" w:cs="Times New Roman"/>
          <w:sz w:val="28"/>
          <w:szCs w:val="28"/>
        </w:rPr>
        <w:lastRenderedPageBreak/>
        <w:t>(ПХЛ) Н</w:t>
      </w:r>
      <w:r w:rsidR="00FB0EAD" w:rsidRPr="002563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EAD" w:rsidRPr="00256396">
        <w:rPr>
          <w:rFonts w:ascii="Times New Roman" w:hAnsi="Times New Roman" w:cs="Times New Roman"/>
          <w:sz w:val="28"/>
          <w:szCs w:val="28"/>
        </w:rPr>
        <w:t>О</w:t>
      </w:r>
      <w:r w:rsidR="00FB0EAD" w:rsidRPr="002563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EAD" w:rsidRPr="00256396">
        <w:rPr>
          <w:rFonts w:ascii="Times New Roman" w:hAnsi="Times New Roman" w:cs="Times New Roman"/>
          <w:sz w:val="28"/>
          <w:szCs w:val="28"/>
        </w:rPr>
        <w:t xml:space="preserve">-индуцируемой </w:t>
      </w:r>
      <w:proofErr w:type="spellStart"/>
      <w:r w:rsidR="00FB0EAD" w:rsidRPr="00256396">
        <w:rPr>
          <w:rFonts w:ascii="Times New Roman" w:hAnsi="Times New Roman" w:cs="Times New Roman"/>
          <w:sz w:val="28"/>
          <w:szCs w:val="28"/>
        </w:rPr>
        <w:t>люминол-зависимой</w:t>
      </w:r>
      <w:proofErr w:type="spellEnd"/>
      <w:r w:rsidR="00FB0EAD" w:rsidRPr="00256396">
        <w:rPr>
          <w:rFonts w:ascii="Times New Roman" w:hAnsi="Times New Roman" w:cs="Times New Roman"/>
          <w:sz w:val="28"/>
          <w:szCs w:val="28"/>
        </w:rPr>
        <w:t xml:space="preserve"> хемилюминесценции с помощью </w:t>
      </w:r>
      <w:proofErr w:type="spellStart"/>
      <w:r w:rsidR="00FB0EAD" w:rsidRPr="00256396">
        <w:rPr>
          <w:rFonts w:ascii="Times New Roman" w:hAnsi="Times New Roman" w:cs="Times New Roman"/>
          <w:sz w:val="28"/>
          <w:szCs w:val="28"/>
        </w:rPr>
        <w:t>люминотестера</w:t>
      </w:r>
      <w:proofErr w:type="spellEnd"/>
      <w:r w:rsidR="00FB0EAD" w:rsidRPr="00256396">
        <w:rPr>
          <w:rFonts w:ascii="Times New Roman" w:hAnsi="Times New Roman" w:cs="Times New Roman"/>
          <w:sz w:val="28"/>
          <w:szCs w:val="28"/>
        </w:rPr>
        <w:t xml:space="preserve"> </w:t>
      </w:r>
      <w:r w:rsidR="00FB0EAD" w:rsidRPr="00256396">
        <w:rPr>
          <w:rFonts w:ascii="Times New Roman" w:hAnsi="Times New Roman" w:cs="Times New Roman"/>
          <w:sz w:val="28"/>
          <w:szCs w:val="28"/>
          <w:lang w:val="en-US"/>
        </w:rPr>
        <w:t>LT</w:t>
      </w:r>
      <w:r w:rsidR="007D66B4">
        <w:rPr>
          <w:rFonts w:ascii="Times New Roman" w:hAnsi="Times New Roman" w:cs="Times New Roman"/>
          <w:sz w:val="28"/>
          <w:szCs w:val="28"/>
        </w:rPr>
        <w:t>-01 («</w:t>
      </w:r>
      <w:proofErr w:type="spellStart"/>
      <w:r w:rsidR="007D66B4">
        <w:rPr>
          <w:rFonts w:ascii="Times New Roman" w:hAnsi="Times New Roman" w:cs="Times New Roman"/>
          <w:sz w:val="28"/>
          <w:szCs w:val="28"/>
        </w:rPr>
        <w:t>Horos</w:t>
      </w:r>
      <w:proofErr w:type="spellEnd"/>
      <w:r w:rsidR="007D66B4">
        <w:rPr>
          <w:rFonts w:ascii="Times New Roman" w:hAnsi="Times New Roman" w:cs="Times New Roman"/>
          <w:sz w:val="28"/>
          <w:szCs w:val="28"/>
        </w:rPr>
        <w:t>»</w:t>
      </w:r>
      <w:r w:rsidR="00FB0EAD" w:rsidRPr="00256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EAD" w:rsidRPr="00256396">
        <w:rPr>
          <w:rFonts w:ascii="Times New Roman" w:hAnsi="Times New Roman" w:cs="Times New Roman"/>
          <w:sz w:val="28"/>
          <w:szCs w:val="28"/>
        </w:rPr>
        <w:t>Joint</w:t>
      </w:r>
      <w:proofErr w:type="spellEnd"/>
      <w:r w:rsidR="00FB0EAD" w:rsidRPr="0025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EAD" w:rsidRPr="00256396">
        <w:rPr>
          <w:rFonts w:ascii="Times New Roman" w:hAnsi="Times New Roman" w:cs="Times New Roman"/>
          <w:sz w:val="28"/>
          <w:szCs w:val="28"/>
        </w:rPr>
        <w:t>Venture</w:t>
      </w:r>
      <w:proofErr w:type="spellEnd"/>
      <w:r w:rsidR="00FB0EAD" w:rsidRPr="0025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EAD" w:rsidRPr="00256396">
        <w:rPr>
          <w:rFonts w:ascii="Times New Roman" w:hAnsi="Times New Roman" w:cs="Times New Roman"/>
          <w:sz w:val="28"/>
          <w:szCs w:val="28"/>
        </w:rPr>
        <w:t>Soviet-Swedish</w:t>
      </w:r>
      <w:proofErr w:type="spellEnd"/>
      <w:r w:rsidR="00FB0EAD" w:rsidRPr="0025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EAD" w:rsidRPr="00256396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FB0EAD" w:rsidRPr="00256396">
        <w:rPr>
          <w:rFonts w:ascii="Times New Roman" w:hAnsi="Times New Roman" w:cs="Times New Roman"/>
          <w:sz w:val="28"/>
          <w:szCs w:val="28"/>
        </w:rPr>
        <w:t>)</w:t>
      </w:r>
      <w:r w:rsidR="00867F7E" w:rsidRPr="00256396">
        <w:rPr>
          <w:rFonts w:ascii="Times New Roman" w:hAnsi="Times New Roman" w:cs="Times New Roman"/>
          <w:sz w:val="28"/>
          <w:szCs w:val="28"/>
        </w:rPr>
        <w:t xml:space="preserve"> </w:t>
      </w:r>
      <w:r w:rsidR="00FB0EAD" w:rsidRPr="00256396">
        <w:rPr>
          <w:rFonts w:ascii="Times New Roman" w:hAnsi="Times New Roman" w:cs="Times New Roman"/>
          <w:sz w:val="28"/>
          <w:szCs w:val="28"/>
        </w:rPr>
        <w:t>[</w:t>
      </w:r>
      <w:r w:rsidR="007274FD" w:rsidRPr="00256396">
        <w:rPr>
          <w:rFonts w:ascii="Times New Roman" w:hAnsi="Times New Roman" w:cs="Times New Roman"/>
          <w:sz w:val="28"/>
          <w:szCs w:val="28"/>
        </w:rPr>
        <w:t>1</w:t>
      </w:r>
      <w:r w:rsidR="00FB0EAD" w:rsidRPr="00256396">
        <w:rPr>
          <w:rFonts w:ascii="Times New Roman" w:hAnsi="Times New Roman" w:cs="Times New Roman"/>
          <w:sz w:val="28"/>
          <w:szCs w:val="28"/>
        </w:rPr>
        <w:t>].</w:t>
      </w:r>
    </w:p>
    <w:p w:rsidR="00FB0EAD" w:rsidRPr="00256396" w:rsidRDefault="004041AE" w:rsidP="0025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96">
        <w:rPr>
          <w:rFonts w:ascii="Times New Roman" w:hAnsi="Times New Roman" w:cs="Times New Roman"/>
          <w:sz w:val="28"/>
          <w:szCs w:val="28"/>
        </w:rPr>
        <w:t>Статистическую обработку экспериментальных данных проводили в соответствии с принятыми методами вариационной статистики</w:t>
      </w:r>
      <w:r w:rsidR="002764F9" w:rsidRPr="00256396">
        <w:rPr>
          <w:rFonts w:ascii="Times New Roman" w:hAnsi="Times New Roman" w:cs="Times New Roman"/>
          <w:sz w:val="28"/>
          <w:szCs w:val="28"/>
        </w:rPr>
        <w:t xml:space="preserve"> </w:t>
      </w:r>
      <w:r w:rsidRPr="00256396">
        <w:rPr>
          <w:rFonts w:ascii="Times New Roman" w:hAnsi="Times New Roman" w:cs="Times New Roman"/>
          <w:sz w:val="28"/>
          <w:szCs w:val="28"/>
        </w:rPr>
        <w:t>с использованием программного обеспечения, находящегося в свободном доступе. Различия считали достоверными, если вероятность ошибки сос</w:t>
      </w:r>
      <w:r w:rsidR="006A7901" w:rsidRPr="00256396">
        <w:rPr>
          <w:rFonts w:ascii="Times New Roman" w:hAnsi="Times New Roman" w:cs="Times New Roman"/>
          <w:sz w:val="28"/>
          <w:szCs w:val="28"/>
        </w:rPr>
        <w:t xml:space="preserve">тавляла </w:t>
      </w:r>
      <w:proofErr w:type="gramStart"/>
      <w:r w:rsidR="006A7901" w:rsidRPr="00256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7901" w:rsidRPr="00256396">
        <w:rPr>
          <w:rFonts w:ascii="Times New Roman" w:hAnsi="Times New Roman" w:cs="Times New Roman"/>
          <w:sz w:val="28"/>
          <w:szCs w:val="28"/>
        </w:rPr>
        <w:t xml:space="preserve">&lt;0,05. </w:t>
      </w:r>
      <w:r w:rsidRPr="00256396">
        <w:rPr>
          <w:rFonts w:ascii="Times New Roman" w:hAnsi="Times New Roman" w:cs="Times New Roman"/>
          <w:sz w:val="28"/>
          <w:szCs w:val="28"/>
        </w:rPr>
        <w:t>Сравнения проводились между контрольной группой и всеми остальными группами, а также между основными опытными группами с коррекцией ДХА (2,</w:t>
      </w:r>
      <w:r w:rsidR="006A7901" w:rsidRPr="00256396">
        <w:rPr>
          <w:rFonts w:ascii="Times New Roman" w:hAnsi="Times New Roman" w:cs="Times New Roman"/>
          <w:sz w:val="28"/>
          <w:szCs w:val="28"/>
        </w:rPr>
        <w:t xml:space="preserve"> 3 и </w:t>
      </w:r>
      <w:r w:rsidRPr="00256396">
        <w:rPr>
          <w:rFonts w:ascii="Times New Roman" w:hAnsi="Times New Roman" w:cs="Times New Roman"/>
          <w:sz w:val="28"/>
          <w:szCs w:val="28"/>
        </w:rPr>
        <w:t xml:space="preserve">4) и соответствующими по </w:t>
      </w:r>
      <w:r w:rsidR="00633052" w:rsidRPr="00256396">
        <w:rPr>
          <w:rFonts w:ascii="Times New Roman" w:hAnsi="Times New Roman" w:cs="Times New Roman"/>
          <w:sz w:val="28"/>
          <w:szCs w:val="28"/>
        </w:rPr>
        <w:t xml:space="preserve">продолжительности </w:t>
      </w:r>
      <w:proofErr w:type="spellStart"/>
      <w:r w:rsidR="00633052" w:rsidRPr="00256396">
        <w:rPr>
          <w:rFonts w:ascii="Times New Roman" w:hAnsi="Times New Roman" w:cs="Times New Roman"/>
          <w:sz w:val="28"/>
          <w:szCs w:val="28"/>
        </w:rPr>
        <w:t>васкулярной</w:t>
      </w:r>
      <w:proofErr w:type="spellEnd"/>
      <w:r w:rsidR="00633052" w:rsidRPr="0025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52" w:rsidRPr="00256396"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 w:rsidR="006A7901" w:rsidRPr="00256396">
        <w:rPr>
          <w:rFonts w:ascii="Times New Roman" w:hAnsi="Times New Roman" w:cs="Times New Roman"/>
          <w:sz w:val="28"/>
          <w:szCs w:val="28"/>
        </w:rPr>
        <w:t xml:space="preserve"> печени</w:t>
      </w:r>
      <w:r w:rsidR="00633052" w:rsidRPr="00256396">
        <w:rPr>
          <w:rFonts w:ascii="Times New Roman" w:hAnsi="Times New Roman" w:cs="Times New Roman"/>
          <w:sz w:val="28"/>
          <w:szCs w:val="28"/>
        </w:rPr>
        <w:t xml:space="preserve"> </w:t>
      </w:r>
      <w:r w:rsidRPr="00256396">
        <w:rPr>
          <w:rFonts w:ascii="Times New Roman" w:hAnsi="Times New Roman" w:cs="Times New Roman"/>
          <w:sz w:val="28"/>
          <w:szCs w:val="28"/>
        </w:rPr>
        <w:t>группами сравнения (5,</w:t>
      </w:r>
      <w:r w:rsidR="006A7901" w:rsidRPr="00256396">
        <w:rPr>
          <w:rFonts w:ascii="Times New Roman" w:hAnsi="Times New Roman" w:cs="Times New Roman"/>
          <w:sz w:val="28"/>
          <w:szCs w:val="28"/>
        </w:rPr>
        <w:t xml:space="preserve"> </w:t>
      </w:r>
      <w:r w:rsidRPr="00256396">
        <w:rPr>
          <w:rFonts w:ascii="Times New Roman" w:hAnsi="Times New Roman" w:cs="Times New Roman"/>
          <w:sz w:val="28"/>
          <w:szCs w:val="28"/>
        </w:rPr>
        <w:t>6 и 7).</w:t>
      </w:r>
    </w:p>
    <w:p w:rsidR="0027119F" w:rsidRPr="00256396" w:rsidRDefault="0027119F" w:rsidP="0025639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 их обсуждение</w:t>
      </w:r>
    </w:p>
    <w:p w:rsidR="00C63EFC" w:rsidRPr="00256396" w:rsidRDefault="00FB0EAD" w:rsidP="0025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96">
        <w:rPr>
          <w:rFonts w:ascii="Times New Roman" w:hAnsi="Times New Roman" w:cs="Times New Roman"/>
          <w:sz w:val="28"/>
          <w:szCs w:val="28"/>
        </w:rPr>
        <w:t xml:space="preserve">Исследование показателей интенсивности окислительных процессов в группах без проведения метаболической профилактики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ишемически-реперфузионных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нарушений показало неуклонный рост их активности</w:t>
      </w:r>
      <w:r w:rsidR="007071FD" w:rsidRPr="00256396">
        <w:rPr>
          <w:rFonts w:ascii="Times New Roman" w:hAnsi="Times New Roman" w:cs="Times New Roman"/>
          <w:sz w:val="28"/>
          <w:szCs w:val="28"/>
        </w:rPr>
        <w:t xml:space="preserve"> (табл. 1)</w:t>
      </w:r>
      <w:r w:rsidRPr="00256396">
        <w:rPr>
          <w:rFonts w:ascii="Times New Roman" w:hAnsi="Times New Roman" w:cs="Times New Roman"/>
          <w:sz w:val="28"/>
          <w:szCs w:val="28"/>
        </w:rPr>
        <w:t>. Так</w:t>
      </w:r>
      <w:r w:rsidR="00C63EFC" w:rsidRPr="00256396">
        <w:rPr>
          <w:rFonts w:ascii="Times New Roman" w:hAnsi="Times New Roman" w:cs="Times New Roman"/>
          <w:sz w:val="28"/>
          <w:szCs w:val="28"/>
        </w:rPr>
        <w:t>,</w:t>
      </w:r>
      <w:r w:rsidRPr="00256396">
        <w:rPr>
          <w:rFonts w:ascii="Times New Roman" w:hAnsi="Times New Roman" w:cs="Times New Roman"/>
          <w:sz w:val="28"/>
          <w:szCs w:val="28"/>
        </w:rPr>
        <w:t xml:space="preserve"> </w:t>
      </w:r>
      <w:r w:rsidR="00443495">
        <w:rPr>
          <w:rFonts w:ascii="Times New Roman" w:hAnsi="Times New Roman" w:cs="Times New Roman"/>
          <w:sz w:val="28"/>
          <w:szCs w:val="28"/>
        </w:rPr>
        <w:t>содержание ТБК-РП в эритроцитах</w:t>
      </w:r>
      <w:r w:rsidRPr="00256396">
        <w:rPr>
          <w:rFonts w:ascii="Times New Roman" w:hAnsi="Times New Roman" w:cs="Times New Roman"/>
          <w:sz w:val="28"/>
          <w:szCs w:val="28"/>
        </w:rPr>
        <w:t xml:space="preserve"> постепенно возрастало, к 15-20 минутам ишемии достигая величин, в 1,5 раза превышающих контрольные значения. Показатели </w:t>
      </w:r>
      <w:r w:rsidR="007071FD" w:rsidRPr="00256396">
        <w:rPr>
          <w:rFonts w:ascii="Times New Roman" w:hAnsi="Times New Roman" w:cs="Times New Roman"/>
          <w:sz w:val="28"/>
          <w:szCs w:val="28"/>
        </w:rPr>
        <w:t xml:space="preserve">МВХЛ </w:t>
      </w:r>
      <w:r w:rsidRPr="00256396">
        <w:rPr>
          <w:rFonts w:ascii="Times New Roman" w:hAnsi="Times New Roman" w:cs="Times New Roman"/>
          <w:sz w:val="28"/>
          <w:szCs w:val="28"/>
        </w:rPr>
        <w:t xml:space="preserve">плазмы крови резко возрастали к 10 и 20 минутам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васкулярной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396"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 w:rsidRPr="00256396">
        <w:rPr>
          <w:rFonts w:ascii="Times New Roman" w:hAnsi="Times New Roman" w:cs="Times New Roman"/>
          <w:sz w:val="28"/>
          <w:szCs w:val="28"/>
        </w:rPr>
        <w:t xml:space="preserve">, ПХЛ увеличивалась к 10 минуте почти в 3 раза, но дальнейший </w:t>
      </w:r>
      <w:r w:rsidR="00C63EFC" w:rsidRPr="00256396">
        <w:rPr>
          <w:rFonts w:ascii="Times New Roman" w:hAnsi="Times New Roman" w:cs="Times New Roman"/>
          <w:sz w:val="28"/>
          <w:szCs w:val="28"/>
        </w:rPr>
        <w:t>рост был не таким значительным.</w:t>
      </w:r>
    </w:p>
    <w:p w:rsidR="007A1B19" w:rsidRPr="00172F04" w:rsidRDefault="00F85B14" w:rsidP="00F467F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2F04">
        <w:rPr>
          <w:rFonts w:ascii="Times New Roman" w:hAnsi="Times New Roman" w:cs="Times New Roman"/>
          <w:sz w:val="28"/>
          <w:szCs w:val="28"/>
        </w:rPr>
        <w:t xml:space="preserve"> </w:t>
      </w:r>
      <w:r w:rsidR="007A1B19" w:rsidRPr="00172F04">
        <w:rPr>
          <w:rFonts w:ascii="Times New Roman" w:hAnsi="Times New Roman" w:cs="Times New Roman"/>
          <w:sz w:val="28"/>
          <w:szCs w:val="28"/>
        </w:rPr>
        <w:t>Таблица 1</w:t>
      </w:r>
    </w:p>
    <w:p w:rsidR="007A1B19" w:rsidRPr="00172F04" w:rsidRDefault="007A1B19" w:rsidP="00172F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04">
        <w:rPr>
          <w:rFonts w:ascii="Times New Roman" w:hAnsi="Times New Roman" w:cs="Times New Roman"/>
          <w:b/>
          <w:sz w:val="28"/>
          <w:szCs w:val="28"/>
        </w:rPr>
        <w:t xml:space="preserve">Показатели интенсивности </w:t>
      </w:r>
      <w:proofErr w:type="spellStart"/>
      <w:r w:rsidRPr="00172F04">
        <w:rPr>
          <w:rFonts w:ascii="Times New Roman" w:hAnsi="Times New Roman" w:cs="Times New Roman"/>
          <w:b/>
          <w:sz w:val="28"/>
          <w:szCs w:val="28"/>
        </w:rPr>
        <w:t>свободнорадикальных</w:t>
      </w:r>
      <w:proofErr w:type="spellEnd"/>
      <w:r w:rsidRPr="00172F04">
        <w:rPr>
          <w:rFonts w:ascii="Times New Roman" w:hAnsi="Times New Roman" w:cs="Times New Roman"/>
          <w:b/>
          <w:sz w:val="28"/>
          <w:szCs w:val="28"/>
        </w:rPr>
        <w:t xml:space="preserve"> процессов в крови при </w:t>
      </w:r>
      <w:proofErr w:type="spellStart"/>
      <w:r w:rsidRPr="00172F04">
        <w:rPr>
          <w:rFonts w:ascii="Times New Roman" w:hAnsi="Times New Roman" w:cs="Times New Roman"/>
          <w:b/>
          <w:sz w:val="28"/>
          <w:szCs w:val="28"/>
        </w:rPr>
        <w:t>васкулярной</w:t>
      </w:r>
      <w:proofErr w:type="spellEnd"/>
      <w:r w:rsidRPr="00172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F04">
        <w:rPr>
          <w:rFonts w:ascii="Times New Roman" w:hAnsi="Times New Roman" w:cs="Times New Roman"/>
          <w:b/>
          <w:sz w:val="28"/>
          <w:szCs w:val="28"/>
        </w:rPr>
        <w:t>эксклюзии</w:t>
      </w:r>
      <w:proofErr w:type="spellEnd"/>
      <w:r w:rsidRPr="00172F04">
        <w:rPr>
          <w:rFonts w:ascii="Times New Roman" w:hAnsi="Times New Roman" w:cs="Times New Roman"/>
          <w:b/>
          <w:sz w:val="28"/>
          <w:szCs w:val="28"/>
        </w:rPr>
        <w:t xml:space="preserve"> печени (М±σ)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410"/>
        <w:gridCol w:w="2552"/>
        <w:gridCol w:w="2268"/>
      </w:tblGrid>
      <w:tr w:rsidR="00F467FF" w:rsidRPr="00172F04" w:rsidTr="00575140">
        <w:trPr>
          <w:trHeight w:val="565"/>
        </w:trPr>
        <w:tc>
          <w:tcPr>
            <w:tcW w:w="2376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410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ТБК-РП</w:t>
            </w:r>
            <w:r w:rsidR="00D672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эр</w:t>
            </w:r>
            <w:proofErr w:type="spellEnd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552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МВХЛ</w:t>
            </w:r>
            <w:r w:rsidR="00D672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</w:t>
            </w:r>
            <w:proofErr w:type="spellEnd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. ед.</w:t>
            </w:r>
          </w:p>
        </w:tc>
        <w:tc>
          <w:tcPr>
            <w:tcW w:w="2268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ПХЛ</w:t>
            </w:r>
            <w:r w:rsidR="00D672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</w:t>
            </w:r>
            <w:proofErr w:type="spellEnd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. ед. площади</w:t>
            </w:r>
          </w:p>
        </w:tc>
      </w:tr>
      <w:tr w:rsidR="00F467FF" w:rsidRPr="00172F04" w:rsidTr="00575140">
        <w:trPr>
          <w:trHeight w:val="264"/>
        </w:trPr>
        <w:tc>
          <w:tcPr>
            <w:tcW w:w="2376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1(К)</w:t>
            </w:r>
          </w:p>
        </w:tc>
        <w:tc>
          <w:tcPr>
            <w:tcW w:w="2410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13,18±1,61</w:t>
            </w:r>
          </w:p>
        </w:tc>
        <w:tc>
          <w:tcPr>
            <w:tcW w:w="2552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0,2653±0,0457</w:t>
            </w:r>
          </w:p>
        </w:tc>
        <w:tc>
          <w:tcPr>
            <w:tcW w:w="2268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1,0788±0,1788</w:t>
            </w:r>
          </w:p>
        </w:tc>
      </w:tr>
      <w:tr w:rsidR="00F467FF" w:rsidRPr="00172F04" w:rsidTr="00575140">
        <w:trPr>
          <w:trHeight w:val="265"/>
        </w:trPr>
        <w:tc>
          <w:tcPr>
            <w:tcW w:w="2376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2(10'ДХА)</w:t>
            </w:r>
          </w:p>
        </w:tc>
        <w:tc>
          <w:tcPr>
            <w:tcW w:w="2410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13,67±1,98</w:t>
            </w:r>
          </w:p>
        </w:tc>
        <w:tc>
          <w:tcPr>
            <w:tcW w:w="2552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0,3720±0,0511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  <w:tc>
          <w:tcPr>
            <w:tcW w:w="2268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2,1197±0,2653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F467FF" w:rsidRPr="00172F04" w:rsidTr="00575140">
        <w:trPr>
          <w:trHeight w:val="259"/>
        </w:trPr>
        <w:tc>
          <w:tcPr>
            <w:tcW w:w="2376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3(15'ДХА)</w:t>
            </w:r>
          </w:p>
        </w:tc>
        <w:tc>
          <w:tcPr>
            <w:tcW w:w="2410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14,02±2,09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0,4255±0,0637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2,3680±0,3187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1,3</w:t>
            </w:r>
          </w:p>
        </w:tc>
      </w:tr>
      <w:tr w:rsidR="00F467FF" w:rsidRPr="00172F04" w:rsidTr="00575140">
        <w:trPr>
          <w:trHeight w:val="263"/>
        </w:trPr>
        <w:tc>
          <w:tcPr>
            <w:tcW w:w="2376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4(20'ДХА)</w:t>
            </w:r>
          </w:p>
        </w:tc>
        <w:tc>
          <w:tcPr>
            <w:tcW w:w="2410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15,25±2,20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1,4</w:t>
            </w:r>
          </w:p>
        </w:tc>
        <w:tc>
          <w:tcPr>
            <w:tcW w:w="2552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0,6614±0,1085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1,4</w:t>
            </w:r>
          </w:p>
        </w:tc>
        <w:tc>
          <w:tcPr>
            <w:tcW w:w="2268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3,0750±0,4318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F467FF" w:rsidRPr="00172F04" w:rsidTr="00575140">
        <w:trPr>
          <w:trHeight w:val="282"/>
        </w:trPr>
        <w:tc>
          <w:tcPr>
            <w:tcW w:w="2376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5(10')</w:t>
            </w:r>
          </w:p>
        </w:tc>
        <w:tc>
          <w:tcPr>
            <w:tcW w:w="2410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15,23±2,03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0,5728±0,0934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2,9222±0,4842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F467FF" w:rsidRPr="00172F04" w:rsidTr="00575140">
        <w:trPr>
          <w:trHeight w:val="240"/>
        </w:trPr>
        <w:tc>
          <w:tcPr>
            <w:tcW w:w="2376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6(15')</w:t>
            </w:r>
          </w:p>
        </w:tc>
        <w:tc>
          <w:tcPr>
            <w:tcW w:w="2410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19,28±3,05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0,4848±0,0883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3,3649±0,5044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F467FF" w:rsidRPr="00172F04" w:rsidTr="00575140">
        <w:trPr>
          <w:trHeight w:val="240"/>
        </w:trPr>
        <w:tc>
          <w:tcPr>
            <w:tcW w:w="2376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7(20')</w:t>
            </w:r>
          </w:p>
        </w:tc>
        <w:tc>
          <w:tcPr>
            <w:tcW w:w="2410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18,61±3,38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0,8579±0,1449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7A1B19" w:rsidRPr="00172F04" w:rsidRDefault="007A1B19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3,4945±0,6224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7A1B19" w:rsidRPr="00172F04" w:rsidRDefault="007A1B19" w:rsidP="00F4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04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="00D67284" w:rsidRPr="00D67284">
        <w:rPr>
          <w:rFonts w:ascii="Times New Roman" w:hAnsi="Times New Roman" w:cs="Times New Roman"/>
          <w:sz w:val="28"/>
          <w:szCs w:val="28"/>
        </w:rPr>
        <w:t xml:space="preserve"> </w:t>
      </w:r>
      <w:r w:rsidRPr="00172F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72F04">
        <w:rPr>
          <w:rFonts w:ascii="Times New Roman" w:hAnsi="Times New Roman" w:cs="Times New Roman"/>
          <w:sz w:val="28"/>
          <w:szCs w:val="28"/>
        </w:rPr>
        <w:t xml:space="preserve"> – </w:t>
      </w:r>
      <w:r w:rsidRPr="00172F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2F04">
        <w:rPr>
          <w:rFonts w:ascii="Times New Roman" w:hAnsi="Times New Roman" w:cs="Times New Roman"/>
          <w:sz w:val="28"/>
          <w:szCs w:val="28"/>
        </w:rPr>
        <w:t xml:space="preserve">&lt;0,05 по отношению к группе 1, </w:t>
      </w:r>
      <w:r w:rsidRPr="00172F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2F04">
        <w:rPr>
          <w:rFonts w:ascii="Times New Roman" w:hAnsi="Times New Roman" w:cs="Times New Roman"/>
          <w:sz w:val="28"/>
          <w:szCs w:val="28"/>
        </w:rPr>
        <w:t xml:space="preserve"> – </w:t>
      </w:r>
      <w:r w:rsidRPr="00172F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2F04">
        <w:rPr>
          <w:rFonts w:ascii="Times New Roman" w:hAnsi="Times New Roman" w:cs="Times New Roman"/>
          <w:sz w:val="28"/>
          <w:szCs w:val="28"/>
        </w:rPr>
        <w:t xml:space="preserve">&lt;0,05 по отношению к группе 5, </w:t>
      </w:r>
      <w:r w:rsidRPr="00172F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72F04">
        <w:rPr>
          <w:rFonts w:ascii="Times New Roman" w:hAnsi="Times New Roman" w:cs="Times New Roman"/>
          <w:sz w:val="28"/>
          <w:szCs w:val="28"/>
        </w:rPr>
        <w:t xml:space="preserve"> – </w:t>
      </w:r>
      <w:r w:rsidRPr="00172F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2F04">
        <w:rPr>
          <w:rFonts w:ascii="Times New Roman" w:hAnsi="Times New Roman" w:cs="Times New Roman"/>
          <w:sz w:val="28"/>
          <w:szCs w:val="28"/>
        </w:rPr>
        <w:t xml:space="preserve">&lt;0,05 по отношению к группе 6, </w:t>
      </w:r>
      <w:r w:rsidRPr="00172F0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72F04">
        <w:rPr>
          <w:rFonts w:ascii="Times New Roman" w:hAnsi="Times New Roman" w:cs="Times New Roman"/>
          <w:sz w:val="28"/>
          <w:szCs w:val="28"/>
        </w:rPr>
        <w:t xml:space="preserve"> – </w:t>
      </w:r>
      <w:r w:rsidRPr="00172F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67284">
        <w:rPr>
          <w:rFonts w:ascii="Times New Roman" w:hAnsi="Times New Roman" w:cs="Times New Roman"/>
          <w:sz w:val="28"/>
          <w:szCs w:val="28"/>
        </w:rPr>
        <w:t xml:space="preserve">&lt;0,05 по отношению к группе 7; </w:t>
      </w:r>
      <w:r w:rsidR="00D67284" w:rsidRPr="00D67284">
        <w:rPr>
          <w:rFonts w:ascii="Times New Roman" w:hAnsi="Times New Roman" w:cs="Times New Roman"/>
          <w:sz w:val="28"/>
          <w:szCs w:val="28"/>
        </w:rPr>
        <w:t>эр</w:t>
      </w:r>
      <w:r w:rsidR="00D67284">
        <w:rPr>
          <w:rFonts w:ascii="Times New Roman" w:hAnsi="Times New Roman" w:cs="Times New Roman"/>
          <w:sz w:val="28"/>
          <w:szCs w:val="28"/>
        </w:rPr>
        <w:t xml:space="preserve"> – в эритроцитах, </w:t>
      </w:r>
      <w:proofErr w:type="spellStart"/>
      <w:proofErr w:type="gramStart"/>
      <w:r w:rsidR="00D67284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="00D67284">
        <w:rPr>
          <w:rFonts w:ascii="Times New Roman" w:hAnsi="Times New Roman" w:cs="Times New Roman"/>
          <w:sz w:val="28"/>
          <w:szCs w:val="28"/>
        </w:rPr>
        <w:t xml:space="preserve"> – в плазме крови.</w:t>
      </w:r>
    </w:p>
    <w:p w:rsidR="00A406A3" w:rsidRDefault="00A406A3" w:rsidP="00F4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FC" w:rsidRPr="00172F04" w:rsidRDefault="00C63EFC" w:rsidP="00F4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04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7071FD" w:rsidRPr="00172F04">
        <w:rPr>
          <w:rFonts w:ascii="Times New Roman" w:hAnsi="Times New Roman" w:cs="Times New Roman"/>
          <w:sz w:val="28"/>
          <w:szCs w:val="28"/>
        </w:rPr>
        <w:t>ДХА</w:t>
      </w:r>
      <w:r w:rsidRPr="00172F04">
        <w:rPr>
          <w:rFonts w:ascii="Times New Roman" w:hAnsi="Times New Roman" w:cs="Times New Roman"/>
          <w:sz w:val="28"/>
          <w:szCs w:val="28"/>
        </w:rPr>
        <w:t xml:space="preserve"> существенно замедляло интенсификацию </w:t>
      </w:r>
      <w:r w:rsidR="00FC7593">
        <w:rPr>
          <w:rFonts w:ascii="Times New Roman" w:hAnsi="Times New Roman" w:cs="Times New Roman"/>
          <w:sz w:val="28"/>
          <w:szCs w:val="28"/>
        </w:rPr>
        <w:t>СРП</w:t>
      </w:r>
      <w:r w:rsidRPr="00172F04">
        <w:rPr>
          <w:rFonts w:ascii="Times New Roman" w:hAnsi="Times New Roman" w:cs="Times New Roman"/>
          <w:sz w:val="28"/>
          <w:szCs w:val="28"/>
        </w:rPr>
        <w:t xml:space="preserve">. По данным хемилюминесцентного анализа, наблюдалось постепенное увеличение МВХЛ и ПХЛ, но значительно меньшее, чем в соответствующих группах сравнения. </w:t>
      </w:r>
      <w:proofErr w:type="gramStart"/>
      <w:r w:rsidRPr="00172F04">
        <w:rPr>
          <w:rFonts w:ascii="Times New Roman" w:hAnsi="Times New Roman" w:cs="Times New Roman"/>
          <w:sz w:val="28"/>
          <w:szCs w:val="28"/>
        </w:rPr>
        <w:t xml:space="preserve">Так, МВХЛ при 10-минутной </w:t>
      </w:r>
      <w:proofErr w:type="spellStart"/>
      <w:r w:rsidRPr="00172F04">
        <w:rPr>
          <w:rFonts w:ascii="Times New Roman" w:hAnsi="Times New Roman" w:cs="Times New Roman"/>
          <w:sz w:val="28"/>
          <w:szCs w:val="28"/>
        </w:rPr>
        <w:t>васкулярной</w:t>
      </w:r>
      <w:proofErr w:type="spellEnd"/>
      <w:r w:rsidRPr="0017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04"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 w:rsidR="00AD3B7D" w:rsidRPr="00172F04">
        <w:rPr>
          <w:rFonts w:ascii="Times New Roman" w:hAnsi="Times New Roman" w:cs="Times New Roman"/>
          <w:sz w:val="28"/>
          <w:szCs w:val="28"/>
        </w:rPr>
        <w:t xml:space="preserve"> печени</w:t>
      </w:r>
      <w:r w:rsidRPr="00172F04">
        <w:rPr>
          <w:rFonts w:ascii="Times New Roman" w:hAnsi="Times New Roman" w:cs="Times New Roman"/>
          <w:sz w:val="28"/>
          <w:szCs w:val="28"/>
        </w:rPr>
        <w:t xml:space="preserve"> с введением ДХА был ниже значений группы 5 на 35,1%, при 15-минутной ишемии с введением ДХА ниже группы 6 на 12,2% и при 20-минутной ишемии с введением ДХА ниже группы 7 на 22,9%. ПХЛ, которая в группах сравнения резко возрастала уже к 10</w:t>
      </w:r>
      <w:r w:rsidR="00504A36" w:rsidRPr="00172F04">
        <w:rPr>
          <w:rFonts w:ascii="Times New Roman" w:hAnsi="Times New Roman" w:cs="Times New Roman"/>
          <w:sz w:val="28"/>
          <w:szCs w:val="28"/>
        </w:rPr>
        <w:t xml:space="preserve"> </w:t>
      </w:r>
      <w:r w:rsidRPr="00172F04">
        <w:rPr>
          <w:rFonts w:ascii="Times New Roman" w:hAnsi="Times New Roman" w:cs="Times New Roman"/>
          <w:sz w:val="28"/>
          <w:szCs w:val="28"/>
        </w:rPr>
        <w:t>минуте сосудистой изоляции печени и в дальнейшем существенных изменений не</w:t>
      </w:r>
      <w:proofErr w:type="gramEnd"/>
      <w:r w:rsidRPr="00172F04">
        <w:rPr>
          <w:rFonts w:ascii="Times New Roman" w:hAnsi="Times New Roman" w:cs="Times New Roman"/>
          <w:sz w:val="28"/>
          <w:szCs w:val="28"/>
        </w:rPr>
        <w:t xml:space="preserve"> претерпевала, при использовании ДХА с целью метаболической коррекции </w:t>
      </w:r>
      <w:r w:rsidR="00504A36" w:rsidRPr="00172F04">
        <w:rPr>
          <w:rFonts w:ascii="Times New Roman" w:hAnsi="Times New Roman" w:cs="Times New Roman"/>
          <w:sz w:val="28"/>
          <w:szCs w:val="28"/>
        </w:rPr>
        <w:t xml:space="preserve">возрастала </w:t>
      </w:r>
      <w:proofErr w:type="gramStart"/>
      <w:r w:rsidRPr="00172F04">
        <w:rPr>
          <w:rFonts w:ascii="Times New Roman" w:hAnsi="Times New Roman" w:cs="Times New Roman"/>
          <w:sz w:val="28"/>
          <w:szCs w:val="28"/>
        </w:rPr>
        <w:t>более плавно</w:t>
      </w:r>
      <w:proofErr w:type="gramEnd"/>
      <w:r w:rsidRPr="00172F04">
        <w:rPr>
          <w:rFonts w:ascii="Times New Roman" w:hAnsi="Times New Roman" w:cs="Times New Roman"/>
          <w:sz w:val="28"/>
          <w:szCs w:val="28"/>
        </w:rPr>
        <w:t>. Во 2</w:t>
      </w:r>
      <w:r w:rsidR="00504A36" w:rsidRPr="00172F04">
        <w:rPr>
          <w:rFonts w:ascii="Times New Roman" w:hAnsi="Times New Roman" w:cs="Times New Roman"/>
          <w:sz w:val="28"/>
          <w:szCs w:val="28"/>
        </w:rPr>
        <w:t xml:space="preserve"> </w:t>
      </w:r>
      <w:r w:rsidRPr="00172F04">
        <w:rPr>
          <w:rFonts w:ascii="Times New Roman" w:hAnsi="Times New Roman" w:cs="Times New Roman"/>
          <w:sz w:val="28"/>
          <w:szCs w:val="28"/>
        </w:rPr>
        <w:t>группе ПХЛ увеличивалась в 2,0 раза по сравнению с контрольной группой, в 3</w:t>
      </w:r>
      <w:r w:rsidR="00504A36" w:rsidRPr="00172F04">
        <w:rPr>
          <w:rFonts w:ascii="Times New Roman" w:hAnsi="Times New Roman" w:cs="Times New Roman"/>
          <w:sz w:val="28"/>
          <w:szCs w:val="28"/>
        </w:rPr>
        <w:t xml:space="preserve"> </w:t>
      </w:r>
      <w:r w:rsidRPr="00172F04">
        <w:rPr>
          <w:rFonts w:ascii="Times New Roman" w:hAnsi="Times New Roman" w:cs="Times New Roman"/>
          <w:sz w:val="28"/>
          <w:szCs w:val="28"/>
        </w:rPr>
        <w:t>группе – в 2,2 раза и в 4</w:t>
      </w:r>
      <w:r w:rsidR="00504A36" w:rsidRPr="00172F04">
        <w:rPr>
          <w:rFonts w:ascii="Times New Roman" w:hAnsi="Times New Roman" w:cs="Times New Roman"/>
          <w:sz w:val="28"/>
          <w:szCs w:val="28"/>
        </w:rPr>
        <w:t xml:space="preserve"> </w:t>
      </w:r>
      <w:r w:rsidRPr="00172F04">
        <w:rPr>
          <w:rFonts w:ascii="Times New Roman" w:hAnsi="Times New Roman" w:cs="Times New Roman"/>
          <w:sz w:val="28"/>
          <w:szCs w:val="28"/>
        </w:rPr>
        <w:t xml:space="preserve">группе – </w:t>
      </w:r>
      <w:proofErr w:type="gramStart"/>
      <w:r w:rsidRPr="00172F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2F04">
        <w:rPr>
          <w:rFonts w:ascii="Times New Roman" w:hAnsi="Times New Roman" w:cs="Times New Roman"/>
          <w:sz w:val="28"/>
          <w:szCs w:val="28"/>
        </w:rPr>
        <w:t xml:space="preserve"> 2,9 раза. Таким образом, только к 20</w:t>
      </w:r>
      <w:r w:rsidR="00504A36" w:rsidRPr="00172F04">
        <w:rPr>
          <w:rFonts w:ascii="Times New Roman" w:hAnsi="Times New Roman" w:cs="Times New Roman"/>
          <w:sz w:val="28"/>
          <w:szCs w:val="28"/>
        </w:rPr>
        <w:t xml:space="preserve"> </w:t>
      </w:r>
      <w:r w:rsidRPr="00172F04">
        <w:rPr>
          <w:rFonts w:ascii="Times New Roman" w:hAnsi="Times New Roman" w:cs="Times New Roman"/>
          <w:sz w:val="28"/>
          <w:szCs w:val="28"/>
        </w:rPr>
        <w:t xml:space="preserve">минуте сосудистой изоляции печени при коррекции с использованием ДХА интенсивность окислительных процессов, по данным ПХЛ, достигала значений 10-минутной </w:t>
      </w:r>
      <w:proofErr w:type="spellStart"/>
      <w:r w:rsidR="00AF0E91" w:rsidRPr="00172F04">
        <w:rPr>
          <w:rFonts w:ascii="Times New Roman" w:hAnsi="Times New Roman" w:cs="Times New Roman"/>
          <w:sz w:val="28"/>
          <w:szCs w:val="28"/>
        </w:rPr>
        <w:t>васкулярной</w:t>
      </w:r>
      <w:proofErr w:type="spellEnd"/>
      <w:r w:rsidR="00AF0E91" w:rsidRPr="0017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E91" w:rsidRPr="00172F04"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 w:rsidR="00AF0E91" w:rsidRPr="00172F04">
        <w:rPr>
          <w:rFonts w:ascii="Times New Roman" w:hAnsi="Times New Roman" w:cs="Times New Roman"/>
          <w:sz w:val="28"/>
          <w:szCs w:val="28"/>
        </w:rPr>
        <w:t xml:space="preserve"> </w:t>
      </w:r>
      <w:r w:rsidRPr="00172F04">
        <w:rPr>
          <w:rFonts w:ascii="Times New Roman" w:hAnsi="Times New Roman" w:cs="Times New Roman"/>
          <w:sz w:val="28"/>
          <w:szCs w:val="28"/>
        </w:rPr>
        <w:t xml:space="preserve">без коррекции. Что касается накопления продуктов окислительных модификаций </w:t>
      </w:r>
      <w:proofErr w:type="spellStart"/>
      <w:r w:rsidRPr="00172F04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172F04">
        <w:rPr>
          <w:rFonts w:ascii="Times New Roman" w:hAnsi="Times New Roman" w:cs="Times New Roman"/>
          <w:sz w:val="28"/>
          <w:szCs w:val="28"/>
        </w:rPr>
        <w:t xml:space="preserve"> – ТБК-РП, то при 10-15-минутной </w:t>
      </w:r>
      <w:r w:rsidR="00AF0E91" w:rsidRPr="00172F04">
        <w:rPr>
          <w:rFonts w:ascii="Times New Roman" w:hAnsi="Times New Roman" w:cs="Times New Roman"/>
          <w:sz w:val="28"/>
          <w:szCs w:val="28"/>
        </w:rPr>
        <w:t xml:space="preserve">сосудистой изоляции печени </w:t>
      </w:r>
      <w:r w:rsidRPr="00172F04">
        <w:rPr>
          <w:rFonts w:ascii="Times New Roman" w:hAnsi="Times New Roman" w:cs="Times New Roman"/>
          <w:sz w:val="28"/>
          <w:szCs w:val="28"/>
        </w:rPr>
        <w:t xml:space="preserve">их избыточное </w:t>
      </w:r>
      <w:r w:rsidR="00AF0E91" w:rsidRPr="00172F04">
        <w:rPr>
          <w:rFonts w:ascii="Times New Roman" w:hAnsi="Times New Roman" w:cs="Times New Roman"/>
          <w:sz w:val="28"/>
          <w:szCs w:val="28"/>
        </w:rPr>
        <w:t xml:space="preserve">накопление не регистрировалось. Однако при пережатии ПДС на протяжении 20 минут </w:t>
      </w:r>
      <w:r w:rsidRPr="00172F04">
        <w:rPr>
          <w:rFonts w:ascii="Times New Roman" w:hAnsi="Times New Roman" w:cs="Times New Roman"/>
          <w:sz w:val="28"/>
          <w:szCs w:val="28"/>
        </w:rPr>
        <w:t xml:space="preserve">определялось достоверное увеличение содержания ТБК-РП на 13,7%, что было ниже соответствующей группы сравнения на 18,1%. </w:t>
      </w:r>
    </w:p>
    <w:p w:rsidR="00C63EFC" w:rsidRPr="00172F04" w:rsidRDefault="00C63EFC" w:rsidP="00F4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0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72F04">
        <w:rPr>
          <w:rFonts w:ascii="Times New Roman" w:hAnsi="Times New Roman" w:cs="Times New Roman"/>
          <w:sz w:val="28"/>
          <w:szCs w:val="28"/>
        </w:rPr>
        <w:t>гомогенате</w:t>
      </w:r>
      <w:proofErr w:type="spellEnd"/>
      <w:r w:rsidRPr="00172F04">
        <w:rPr>
          <w:rFonts w:ascii="Times New Roman" w:hAnsi="Times New Roman" w:cs="Times New Roman"/>
          <w:sz w:val="28"/>
          <w:szCs w:val="28"/>
        </w:rPr>
        <w:t xml:space="preserve"> печени не отмечалось существенных изменений показателей МВХЛ и ПХЛ, что, возможно, связано с быстрым затуханием </w:t>
      </w:r>
      <w:r w:rsidR="00FC7593">
        <w:rPr>
          <w:rFonts w:ascii="Times New Roman" w:hAnsi="Times New Roman" w:cs="Times New Roman"/>
          <w:sz w:val="28"/>
          <w:szCs w:val="28"/>
        </w:rPr>
        <w:t>СРП</w:t>
      </w:r>
      <w:r w:rsidRPr="00172F04">
        <w:rPr>
          <w:rFonts w:ascii="Times New Roman" w:hAnsi="Times New Roman" w:cs="Times New Roman"/>
          <w:sz w:val="28"/>
          <w:szCs w:val="28"/>
        </w:rPr>
        <w:t xml:space="preserve"> после 15-минутной </w:t>
      </w:r>
      <w:proofErr w:type="spellStart"/>
      <w:r w:rsidRPr="00172F04">
        <w:rPr>
          <w:rFonts w:ascii="Times New Roman" w:hAnsi="Times New Roman" w:cs="Times New Roman"/>
          <w:sz w:val="28"/>
          <w:szCs w:val="28"/>
        </w:rPr>
        <w:t>реперфузии</w:t>
      </w:r>
      <w:proofErr w:type="spellEnd"/>
      <w:r w:rsidR="007B7EF7" w:rsidRPr="00172F04">
        <w:rPr>
          <w:rFonts w:ascii="Times New Roman" w:hAnsi="Times New Roman" w:cs="Times New Roman"/>
          <w:sz w:val="28"/>
          <w:szCs w:val="28"/>
        </w:rPr>
        <w:t xml:space="preserve"> (табл. 2)</w:t>
      </w:r>
      <w:r w:rsidRPr="00172F04">
        <w:rPr>
          <w:rFonts w:ascii="Times New Roman" w:hAnsi="Times New Roman" w:cs="Times New Roman"/>
          <w:sz w:val="28"/>
          <w:szCs w:val="28"/>
        </w:rPr>
        <w:t xml:space="preserve">. Однако в печеночной паренхиме </w:t>
      </w:r>
      <w:r w:rsidRPr="00172F04">
        <w:rPr>
          <w:rFonts w:ascii="Times New Roman" w:hAnsi="Times New Roman" w:cs="Times New Roman"/>
          <w:sz w:val="28"/>
          <w:szCs w:val="28"/>
        </w:rPr>
        <w:lastRenderedPageBreak/>
        <w:t xml:space="preserve">успевали накапливаться ТБК-РП в группах без коррекции на 29,2-51,0% выше концентрации их в контрольной группе. </w:t>
      </w:r>
    </w:p>
    <w:p w:rsidR="00FB0EAD" w:rsidRPr="00172F04" w:rsidRDefault="00F85B14" w:rsidP="00F467F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2F04">
        <w:rPr>
          <w:rFonts w:ascii="Times New Roman" w:hAnsi="Times New Roman" w:cs="Times New Roman"/>
          <w:sz w:val="28"/>
          <w:szCs w:val="28"/>
        </w:rPr>
        <w:t xml:space="preserve"> </w:t>
      </w:r>
      <w:r w:rsidR="00FB0EAD" w:rsidRPr="00172F0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D3B7D" w:rsidRPr="00172F04">
        <w:rPr>
          <w:rFonts w:ascii="Times New Roman" w:hAnsi="Times New Roman" w:cs="Times New Roman"/>
          <w:sz w:val="28"/>
          <w:szCs w:val="28"/>
        </w:rPr>
        <w:t>2</w:t>
      </w:r>
    </w:p>
    <w:p w:rsidR="00FB0EAD" w:rsidRPr="00172F04" w:rsidRDefault="00FB0EAD" w:rsidP="00F467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04">
        <w:rPr>
          <w:rFonts w:ascii="Times New Roman" w:hAnsi="Times New Roman" w:cs="Times New Roman"/>
          <w:b/>
          <w:sz w:val="28"/>
          <w:szCs w:val="28"/>
        </w:rPr>
        <w:t xml:space="preserve">Показатели интенсивности </w:t>
      </w:r>
      <w:proofErr w:type="spellStart"/>
      <w:r w:rsidRPr="00172F04">
        <w:rPr>
          <w:rFonts w:ascii="Times New Roman" w:hAnsi="Times New Roman" w:cs="Times New Roman"/>
          <w:b/>
          <w:sz w:val="28"/>
          <w:szCs w:val="28"/>
        </w:rPr>
        <w:t>свободнорадикальных</w:t>
      </w:r>
      <w:proofErr w:type="spellEnd"/>
      <w:r w:rsidRPr="00172F04">
        <w:rPr>
          <w:rFonts w:ascii="Times New Roman" w:hAnsi="Times New Roman" w:cs="Times New Roman"/>
          <w:b/>
          <w:sz w:val="28"/>
          <w:szCs w:val="28"/>
        </w:rPr>
        <w:t xml:space="preserve"> процессов в печени </w:t>
      </w:r>
      <w:proofErr w:type="gramStart"/>
      <w:r w:rsidRPr="00172F0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172F04">
        <w:rPr>
          <w:rFonts w:ascii="Times New Roman" w:hAnsi="Times New Roman" w:cs="Times New Roman"/>
          <w:b/>
          <w:sz w:val="28"/>
          <w:szCs w:val="28"/>
        </w:rPr>
        <w:t xml:space="preserve"> ее </w:t>
      </w:r>
      <w:proofErr w:type="spellStart"/>
      <w:r w:rsidRPr="00172F04">
        <w:rPr>
          <w:rFonts w:ascii="Times New Roman" w:hAnsi="Times New Roman" w:cs="Times New Roman"/>
          <w:b/>
          <w:sz w:val="28"/>
          <w:szCs w:val="28"/>
        </w:rPr>
        <w:t>васкулярной</w:t>
      </w:r>
      <w:proofErr w:type="spellEnd"/>
      <w:r w:rsidRPr="00172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F04">
        <w:rPr>
          <w:rFonts w:ascii="Times New Roman" w:hAnsi="Times New Roman" w:cs="Times New Roman"/>
          <w:b/>
          <w:sz w:val="28"/>
          <w:szCs w:val="28"/>
        </w:rPr>
        <w:t>эксклюзии</w:t>
      </w:r>
      <w:proofErr w:type="spellEnd"/>
      <w:r w:rsidRPr="00172F04">
        <w:rPr>
          <w:rFonts w:ascii="Times New Roman" w:hAnsi="Times New Roman" w:cs="Times New Roman"/>
          <w:b/>
          <w:sz w:val="28"/>
          <w:szCs w:val="28"/>
        </w:rPr>
        <w:t xml:space="preserve"> (М±σ)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410"/>
        <w:gridCol w:w="2552"/>
        <w:gridCol w:w="2268"/>
      </w:tblGrid>
      <w:tr w:rsidR="00F467FF" w:rsidRPr="00172F04" w:rsidTr="008078D0">
        <w:trPr>
          <w:trHeight w:val="845"/>
        </w:trPr>
        <w:tc>
          <w:tcPr>
            <w:tcW w:w="2376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410" w:type="dxa"/>
          </w:tcPr>
          <w:p w:rsidR="00FB0EAD" w:rsidRPr="00172F04" w:rsidRDefault="00FB0EAD" w:rsidP="00D67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 xml:space="preserve">ТБК-РП, </w:t>
            </w:r>
            <w:proofErr w:type="spellStart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552" w:type="dxa"/>
          </w:tcPr>
          <w:p w:rsidR="00FB0EAD" w:rsidRPr="00172F04" w:rsidRDefault="00FB0EAD" w:rsidP="00D67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 xml:space="preserve">МВХЛ, </w:t>
            </w:r>
            <w:proofErr w:type="spellStart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. ед.</w:t>
            </w:r>
          </w:p>
        </w:tc>
        <w:tc>
          <w:tcPr>
            <w:tcW w:w="2268" w:type="dxa"/>
          </w:tcPr>
          <w:p w:rsidR="00FB0EAD" w:rsidRPr="00172F04" w:rsidRDefault="00FB0EAD" w:rsidP="00D67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 xml:space="preserve">ПХЛ, </w:t>
            </w:r>
            <w:proofErr w:type="spellStart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. ед. площади</w:t>
            </w:r>
          </w:p>
        </w:tc>
      </w:tr>
      <w:tr w:rsidR="00F467FF" w:rsidRPr="00172F04" w:rsidTr="008078D0">
        <w:trPr>
          <w:trHeight w:val="322"/>
        </w:trPr>
        <w:tc>
          <w:tcPr>
            <w:tcW w:w="2376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1(К)</w:t>
            </w:r>
          </w:p>
        </w:tc>
        <w:tc>
          <w:tcPr>
            <w:tcW w:w="2410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6,30±0,95</w:t>
            </w:r>
          </w:p>
        </w:tc>
        <w:tc>
          <w:tcPr>
            <w:tcW w:w="2552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0,8433±0,1388</w:t>
            </w:r>
          </w:p>
        </w:tc>
        <w:tc>
          <w:tcPr>
            <w:tcW w:w="2268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0,3869±0,0554</w:t>
            </w:r>
          </w:p>
        </w:tc>
      </w:tr>
      <w:tr w:rsidR="00F467FF" w:rsidRPr="00172F04" w:rsidTr="008078D0">
        <w:trPr>
          <w:trHeight w:val="322"/>
        </w:trPr>
        <w:tc>
          <w:tcPr>
            <w:tcW w:w="2376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2(</w:t>
            </w:r>
            <w:r w:rsidR="007A1B19" w:rsidRPr="00172F04">
              <w:rPr>
                <w:rFonts w:ascii="Times New Roman" w:hAnsi="Times New Roman" w:cs="Times New Roman"/>
                <w:sz w:val="28"/>
                <w:szCs w:val="28"/>
              </w:rPr>
              <w:t>10'</w:t>
            </w: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ДХА)</w:t>
            </w:r>
          </w:p>
        </w:tc>
        <w:tc>
          <w:tcPr>
            <w:tcW w:w="2410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6,41±0,76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0,8124±0,1196</w:t>
            </w:r>
          </w:p>
        </w:tc>
        <w:tc>
          <w:tcPr>
            <w:tcW w:w="2268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0,4094±0,0603</w:t>
            </w:r>
          </w:p>
        </w:tc>
      </w:tr>
      <w:tr w:rsidR="00F467FF" w:rsidRPr="00172F04" w:rsidTr="008078D0">
        <w:trPr>
          <w:trHeight w:val="322"/>
        </w:trPr>
        <w:tc>
          <w:tcPr>
            <w:tcW w:w="2376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3(</w:t>
            </w:r>
            <w:r w:rsidR="007A1B19" w:rsidRPr="00172F04">
              <w:rPr>
                <w:rFonts w:ascii="Times New Roman" w:hAnsi="Times New Roman" w:cs="Times New Roman"/>
                <w:sz w:val="28"/>
                <w:szCs w:val="28"/>
              </w:rPr>
              <w:t>15'</w:t>
            </w: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ДХА)</w:t>
            </w:r>
          </w:p>
        </w:tc>
        <w:tc>
          <w:tcPr>
            <w:tcW w:w="2410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6,92±0,84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0,8615±0,1237</w:t>
            </w:r>
          </w:p>
        </w:tc>
        <w:tc>
          <w:tcPr>
            <w:tcW w:w="2268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0,4241±0,0681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F467FF" w:rsidRPr="00172F04" w:rsidTr="008078D0">
        <w:trPr>
          <w:trHeight w:val="322"/>
        </w:trPr>
        <w:tc>
          <w:tcPr>
            <w:tcW w:w="2376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4(</w:t>
            </w:r>
            <w:r w:rsidR="007A1B19" w:rsidRPr="00172F04">
              <w:rPr>
                <w:rFonts w:ascii="Times New Roman" w:hAnsi="Times New Roman" w:cs="Times New Roman"/>
                <w:sz w:val="28"/>
                <w:szCs w:val="28"/>
              </w:rPr>
              <w:t>20'</w:t>
            </w: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ДХА)</w:t>
            </w:r>
          </w:p>
        </w:tc>
        <w:tc>
          <w:tcPr>
            <w:tcW w:w="2410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7,95±1,02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0,7523±0,1065</w:t>
            </w:r>
          </w:p>
        </w:tc>
        <w:tc>
          <w:tcPr>
            <w:tcW w:w="2268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0,4285±0,0760</w:t>
            </w:r>
          </w:p>
        </w:tc>
      </w:tr>
      <w:tr w:rsidR="00F467FF" w:rsidRPr="00172F04" w:rsidTr="008078D0">
        <w:trPr>
          <w:trHeight w:val="220"/>
        </w:trPr>
        <w:tc>
          <w:tcPr>
            <w:tcW w:w="2376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5(10')</w:t>
            </w:r>
          </w:p>
        </w:tc>
        <w:tc>
          <w:tcPr>
            <w:tcW w:w="2410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8,78±1,43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0,6819±0,1201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0,4469±0,0597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F467FF" w:rsidRPr="00172F04" w:rsidTr="008078D0">
        <w:trPr>
          <w:trHeight w:val="240"/>
        </w:trPr>
        <w:tc>
          <w:tcPr>
            <w:tcW w:w="2376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6(15')</w:t>
            </w:r>
          </w:p>
        </w:tc>
        <w:tc>
          <w:tcPr>
            <w:tcW w:w="2410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9,51±1,43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0,8099±0,1355</w:t>
            </w:r>
          </w:p>
        </w:tc>
        <w:tc>
          <w:tcPr>
            <w:tcW w:w="2268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0,6795±0,1308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F467FF" w:rsidRPr="00172F04" w:rsidTr="008078D0">
        <w:trPr>
          <w:trHeight w:val="240"/>
        </w:trPr>
        <w:tc>
          <w:tcPr>
            <w:tcW w:w="2376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7(20')</w:t>
            </w:r>
          </w:p>
        </w:tc>
        <w:tc>
          <w:tcPr>
            <w:tcW w:w="2410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8,14±1,43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0,6297±0,1211</w:t>
            </w:r>
            <w:r w:rsidRPr="00172F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FB0EAD" w:rsidRPr="00172F04" w:rsidRDefault="00FB0EAD" w:rsidP="00F467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04">
              <w:rPr>
                <w:rFonts w:ascii="Times New Roman" w:hAnsi="Times New Roman" w:cs="Times New Roman"/>
                <w:sz w:val="28"/>
                <w:szCs w:val="28"/>
              </w:rPr>
              <w:t>0,3469±0,0803</w:t>
            </w:r>
          </w:p>
        </w:tc>
      </w:tr>
    </w:tbl>
    <w:p w:rsidR="007B7EF7" w:rsidRDefault="00FB0EAD" w:rsidP="00F4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04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="00D67284" w:rsidRPr="00D67284">
        <w:rPr>
          <w:rFonts w:ascii="Times New Roman" w:hAnsi="Times New Roman" w:cs="Times New Roman"/>
          <w:sz w:val="28"/>
          <w:szCs w:val="28"/>
        </w:rPr>
        <w:t xml:space="preserve"> </w:t>
      </w:r>
      <w:r w:rsidRPr="00172F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72F04">
        <w:rPr>
          <w:rFonts w:ascii="Times New Roman" w:hAnsi="Times New Roman" w:cs="Times New Roman"/>
          <w:sz w:val="28"/>
          <w:szCs w:val="28"/>
        </w:rPr>
        <w:t xml:space="preserve"> – </w:t>
      </w:r>
      <w:r w:rsidRPr="00172F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2F04">
        <w:rPr>
          <w:rFonts w:ascii="Times New Roman" w:hAnsi="Times New Roman" w:cs="Times New Roman"/>
          <w:sz w:val="28"/>
          <w:szCs w:val="28"/>
        </w:rPr>
        <w:t xml:space="preserve">&lt;0,05 по отношению к группе 1, </w:t>
      </w:r>
      <w:r w:rsidRPr="00172F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2F04">
        <w:rPr>
          <w:rFonts w:ascii="Times New Roman" w:hAnsi="Times New Roman" w:cs="Times New Roman"/>
          <w:sz w:val="28"/>
          <w:szCs w:val="28"/>
        </w:rPr>
        <w:t xml:space="preserve"> – </w:t>
      </w:r>
      <w:r w:rsidRPr="00172F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2F04">
        <w:rPr>
          <w:rFonts w:ascii="Times New Roman" w:hAnsi="Times New Roman" w:cs="Times New Roman"/>
          <w:sz w:val="28"/>
          <w:szCs w:val="28"/>
        </w:rPr>
        <w:t xml:space="preserve">&lt;0,05 по отношению к группе 5, </w:t>
      </w:r>
      <w:r w:rsidRPr="00172F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72F04">
        <w:rPr>
          <w:rFonts w:ascii="Times New Roman" w:hAnsi="Times New Roman" w:cs="Times New Roman"/>
          <w:sz w:val="28"/>
          <w:szCs w:val="28"/>
        </w:rPr>
        <w:t xml:space="preserve"> – </w:t>
      </w:r>
      <w:r w:rsidRPr="00172F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2F04">
        <w:rPr>
          <w:rFonts w:ascii="Times New Roman" w:hAnsi="Times New Roman" w:cs="Times New Roman"/>
          <w:sz w:val="28"/>
          <w:szCs w:val="28"/>
        </w:rPr>
        <w:t>&lt;0,05 по отношению к группе 6</w:t>
      </w:r>
      <w:r w:rsidR="00D67284">
        <w:rPr>
          <w:rFonts w:ascii="Times New Roman" w:hAnsi="Times New Roman" w:cs="Times New Roman"/>
          <w:sz w:val="28"/>
          <w:szCs w:val="28"/>
        </w:rPr>
        <w:t>.</w:t>
      </w:r>
    </w:p>
    <w:p w:rsidR="00D67284" w:rsidRPr="00172F04" w:rsidRDefault="00D67284" w:rsidP="00F4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C22" w:rsidRPr="00256396" w:rsidRDefault="007B7EF7" w:rsidP="00256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04">
        <w:rPr>
          <w:rFonts w:ascii="Times New Roman" w:hAnsi="Times New Roman" w:cs="Times New Roman"/>
          <w:sz w:val="28"/>
          <w:szCs w:val="28"/>
        </w:rPr>
        <w:t>При использовании ДХА во 2 и 3</w:t>
      </w:r>
      <w:r w:rsidR="00083070">
        <w:rPr>
          <w:rFonts w:ascii="Times New Roman" w:hAnsi="Times New Roman" w:cs="Times New Roman"/>
          <w:sz w:val="28"/>
          <w:szCs w:val="28"/>
        </w:rPr>
        <w:t xml:space="preserve"> </w:t>
      </w:r>
      <w:r w:rsidRPr="00172F04">
        <w:rPr>
          <w:rFonts w:ascii="Times New Roman" w:hAnsi="Times New Roman" w:cs="Times New Roman"/>
          <w:sz w:val="28"/>
          <w:szCs w:val="28"/>
        </w:rPr>
        <w:t>группах не определялось достоверного увеличения содержания ТБК-РП; и только в группе 4, подвергшейся 20-минутной сосудистой изоляции, их концентрация возрастала на 26,2%.</w:t>
      </w:r>
    </w:p>
    <w:p w:rsidR="0027119F" w:rsidRPr="00172F04" w:rsidRDefault="0027119F" w:rsidP="00F467F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63EFC" w:rsidRPr="00172F04" w:rsidRDefault="00C63EFC" w:rsidP="00F4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04">
        <w:rPr>
          <w:rFonts w:ascii="Times New Roman" w:hAnsi="Times New Roman" w:cs="Times New Roman"/>
          <w:sz w:val="28"/>
          <w:szCs w:val="28"/>
        </w:rPr>
        <w:t xml:space="preserve">Полученные результаты демонстрируют менее выраженное, но постепенное усиление </w:t>
      </w:r>
      <w:r w:rsidR="00FC7593">
        <w:rPr>
          <w:rFonts w:ascii="Times New Roman" w:hAnsi="Times New Roman" w:cs="Times New Roman"/>
          <w:sz w:val="28"/>
          <w:szCs w:val="28"/>
        </w:rPr>
        <w:t>СРП</w:t>
      </w:r>
      <w:r w:rsidRPr="00172F04">
        <w:rPr>
          <w:rFonts w:ascii="Times New Roman" w:hAnsi="Times New Roman" w:cs="Times New Roman"/>
          <w:sz w:val="28"/>
          <w:szCs w:val="28"/>
        </w:rPr>
        <w:t xml:space="preserve"> на системном уровне</w:t>
      </w:r>
      <w:r w:rsidR="00EC3C22" w:rsidRPr="00172F04">
        <w:rPr>
          <w:rFonts w:ascii="Times New Roman" w:hAnsi="Times New Roman" w:cs="Times New Roman"/>
          <w:sz w:val="28"/>
          <w:szCs w:val="28"/>
        </w:rPr>
        <w:t xml:space="preserve"> (в крови)</w:t>
      </w:r>
      <w:r w:rsidRPr="00172F04">
        <w:rPr>
          <w:rFonts w:ascii="Times New Roman" w:hAnsi="Times New Roman" w:cs="Times New Roman"/>
          <w:sz w:val="28"/>
          <w:szCs w:val="28"/>
        </w:rPr>
        <w:t xml:space="preserve"> у крыс с сосудистой изоляцией печени при условии коррекции метаболических нарушений с использованием ДХА. Однако деятельность </w:t>
      </w:r>
      <w:r w:rsidR="00EC3C22" w:rsidRPr="00172F04">
        <w:rPr>
          <w:rFonts w:ascii="Times New Roman" w:hAnsi="Times New Roman" w:cs="Times New Roman"/>
          <w:sz w:val="28"/>
          <w:szCs w:val="28"/>
        </w:rPr>
        <w:t>антиоксидантной системы</w:t>
      </w:r>
      <w:r w:rsidRPr="00172F04">
        <w:rPr>
          <w:rFonts w:ascii="Times New Roman" w:hAnsi="Times New Roman" w:cs="Times New Roman"/>
          <w:sz w:val="28"/>
          <w:szCs w:val="28"/>
        </w:rPr>
        <w:t xml:space="preserve">, очевидно, сдерживает в таких условиях прогрессирующие окислительные повреждения </w:t>
      </w:r>
      <w:proofErr w:type="spellStart"/>
      <w:r w:rsidRPr="00172F04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172F04">
        <w:rPr>
          <w:rFonts w:ascii="Times New Roman" w:hAnsi="Times New Roman" w:cs="Times New Roman"/>
          <w:sz w:val="28"/>
          <w:szCs w:val="28"/>
        </w:rPr>
        <w:t xml:space="preserve">, что отражается в замедленном накоплении ТБК-РП. </w:t>
      </w:r>
      <w:r w:rsidR="00EC3C22" w:rsidRPr="00172F04">
        <w:rPr>
          <w:rFonts w:ascii="Times New Roman" w:hAnsi="Times New Roman" w:cs="Times New Roman"/>
          <w:sz w:val="28"/>
          <w:szCs w:val="28"/>
        </w:rPr>
        <w:t>Н</w:t>
      </w:r>
      <w:r w:rsidRPr="00172F04">
        <w:rPr>
          <w:rFonts w:ascii="Times New Roman" w:hAnsi="Times New Roman" w:cs="Times New Roman"/>
          <w:sz w:val="28"/>
          <w:szCs w:val="28"/>
        </w:rPr>
        <w:t>а местном уровне</w:t>
      </w:r>
      <w:r w:rsidR="00EC3C22" w:rsidRPr="00172F04">
        <w:rPr>
          <w:rFonts w:ascii="Times New Roman" w:hAnsi="Times New Roman" w:cs="Times New Roman"/>
          <w:sz w:val="28"/>
          <w:szCs w:val="28"/>
        </w:rPr>
        <w:t xml:space="preserve"> (в печени)</w:t>
      </w:r>
      <w:r w:rsidRPr="00172F04">
        <w:rPr>
          <w:rFonts w:ascii="Times New Roman" w:hAnsi="Times New Roman" w:cs="Times New Roman"/>
          <w:sz w:val="28"/>
          <w:szCs w:val="28"/>
        </w:rPr>
        <w:t xml:space="preserve"> также развиваются выраженные нарушения окислительного метаболизма, которые быстро распространяются на системном уровне и вызывают более значительные нарушения, регистрирующиеся в </w:t>
      </w:r>
      <w:r w:rsidRPr="00172F04">
        <w:rPr>
          <w:rFonts w:ascii="Times New Roman" w:hAnsi="Times New Roman" w:cs="Times New Roman"/>
          <w:sz w:val="28"/>
          <w:szCs w:val="28"/>
        </w:rPr>
        <w:lastRenderedPageBreak/>
        <w:t>крови. Использование ДХА позволяет эффективно подавить выявленные нарушения окислительного метаболизма.</w:t>
      </w:r>
    </w:p>
    <w:p w:rsidR="0027119F" w:rsidRPr="007D66B4" w:rsidRDefault="00256396" w:rsidP="0025639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66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Литература:</w:t>
      </w:r>
    </w:p>
    <w:p w:rsidR="00EC3C22" w:rsidRPr="007D66B4" w:rsidRDefault="00EC3C22" w:rsidP="00F467FF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7D66B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Басов А.А., Павлюченко И.И., Плаксин А.М., Федосов С.Р. Использование аналогово-цифрового преобразователя в составе системы сбора и обработки информации с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хемилюминитестером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LT-01 // Вестник новых медицинских технологий</w:t>
      </w:r>
      <w:r w:rsidR="00DA75C5" w:rsidRPr="007D66B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 – 2003. – Т. 10, № 4. – С. 67-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68.</w:t>
      </w:r>
    </w:p>
    <w:p w:rsidR="00475988" w:rsidRPr="007D66B4" w:rsidRDefault="00475988" w:rsidP="00F467F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D66B4">
        <w:rPr>
          <w:rFonts w:ascii="Times New Roman" w:hAnsi="Times New Roman" w:cs="Times New Roman"/>
          <w:i/>
          <w:sz w:val="28"/>
          <w:szCs w:val="28"/>
        </w:rPr>
        <w:t>Писецкая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</w:rPr>
        <w:t xml:space="preserve"> М.Э. Применение методов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</w:rPr>
        <w:t>васкулярной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</w:rPr>
        <w:t>эксклюзии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</w:rPr>
        <w:t xml:space="preserve"> печени при ее резекциях</w:t>
      </w:r>
      <w:r w:rsidR="007919FD" w:rsidRPr="007D66B4">
        <w:rPr>
          <w:rFonts w:ascii="Times New Roman" w:hAnsi="Times New Roman" w:cs="Times New Roman"/>
          <w:i/>
          <w:sz w:val="28"/>
          <w:szCs w:val="28"/>
        </w:rPr>
        <w:t xml:space="preserve"> // </w:t>
      </w:r>
      <w:r w:rsidRPr="007D66B4">
        <w:rPr>
          <w:rFonts w:ascii="Times New Roman" w:hAnsi="Times New Roman" w:cs="Times New Roman"/>
          <w:i/>
          <w:sz w:val="28"/>
          <w:szCs w:val="28"/>
        </w:rPr>
        <w:t>Международный медицинский журнал</w:t>
      </w:r>
      <w:r w:rsidR="007919FD" w:rsidRPr="007D66B4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Pr="007D66B4">
        <w:rPr>
          <w:rFonts w:ascii="Times New Roman" w:hAnsi="Times New Roman" w:cs="Times New Roman"/>
          <w:i/>
          <w:sz w:val="28"/>
          <w:szCs w:val="28"/>
        </w:rPr>
        <w:t>2014</w:t>
      </w:r>
      <w:r w:rsidR="007919FD" w:rsidRPr="007D66B4">
        <w:rPr>
          <w:rFonts w:ascii="Times New Roman" w:hAnsi="Times New Roman" w:cs="Times New Roman"/>
          <w:i/>
          <w:sz w:val="28"/>
          <w:szCs w:val="28"/>
        </w:rPr>
        <w:t>. –</w:t>
      </w:r>
      <w:r w:rsidR="00DA75C5" w:rsidRPr="007D66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9FD" w:rsidRPr="007D66B4">
        <w:rPr>
          <w:rFonts w:ascii="Times New Roman" w:hAnsi="Times New Roman" w:cs="Times New Roman"/>
          <w:i/>
          <w:sz w:val="28"/>
          <w:szCs w:val="28"/>
        </w:rPr>
        <w:t>№</w:t>
      </w:r>
      <w:r w:rsidRPr="007D66B4">
        <w:rPr>
          <w:rFonts w:ascii="Times New Roman" w:hAnsi="Times New Roman" w:cs="Times New Roman"/>
          <w:i/>
          <w:sz w:val="28"/>
          <w:szCs w:val="28"/>
        </w:rPr>
        <w:t>3</w:t>
      </w:r>
      <w:r w:rsidR="007919FD" w:rsidRPr="007D66B4">
        <w:rPr>
          <w:rFonts w:ascii="Times New Roman" w:hAnsi="Times New Roman" w:cs="Times New Roman"/>
          <w:i/>
          <w:sz w:val="28"/>
          <w:szCs w:val="28"/>
        </w:rPr>
        <w:t>.</w:t>
      </w:r>
      <w:r w:rsidR="00DA75C5" w:rsidRPr="007D66B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A75C5" w:rsidRPr="007D66B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DA75C5" w:rsidRPr="007D66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D66B4">
        <w:rPr>
          <w:rFonts w:ascii="Times New Roman" w:hAnsi="Times New Roman" w:cs="Times New Roman"/>
          <w:i/>
          <w:sz w:val="28"/>
          <w:szCs w:val="28"/>
        </w:rPr>
        <w:t>67-71.</w:t>
      </w:r>
    </w:p>
    <w:p w:rsidR="003652B2" w:rsidRPr="007D66B4" w:rsidRDefault="003652B2" w:rsidP="00F467FF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</w:pP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Basov A.A.,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Akopova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V.A.,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Bykov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I.M. Changing the parameters of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prooxidant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-antioxidant system in blood and oral fluid of patients with ischemic heart disease and type 2 diabetes mellitus // International Journal on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Immunorehabilitation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. – 2013. – </w:t>
      </w:r>
      <w:r w:rsidR="007C18FC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Vol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. 15,</w:t>
      </w:r>
      <w:r w:rsidR="007C18FC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№</w:t>
      </w:r>
      <w:r w:rsidR="0001234E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2. – P.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84</w:t>
      </w:r>
      <w:r w:rsidR="00DA75C5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-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86.</w:t>
      </w:r>
    </w:p>
    <w:p w:rsidR="00475988" w:rsidRPr="007D66B4" w:rsidRDefault="00475988" w:rsidP="00F467F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FontStyle228"/>
          <w:i/>
          <w:color w:val="auto"/>
          <w:sz w:val="28"/>
          <w:szCs w:val="28"/>
          <w:lang w:val="en-US"/>
        </w:rPr>
      </w:pPr>
      <w:proofErr w:type="spellStart"/>
      <w:r w:rsidRPr="007D66B4">
        <w:rPr>
          <w:rStyle w:val="FontStyle228"/>
          <w:i/>
          <w:color w:val="auto"/>
          <w:sz w:val="28"/>
          <w:szCs w:val="28"/>
          <w:lang w:val="en-US"/>
        </w:rPr>
        <w:t>Bykov</w:t>
      </w:r>
      <w:proofErr w:type="spellEnd"/>
      <w:r w:rsidRPr="007D66B4">
        <w:rPr>
          <w:rStyle w:val="FontStyle228"/>
          <w:i/>
          <w:color w:val="auto"/>
          <w:sz w:val="28"/>
          <w:szCs w:val="28"/>
          <w:lang w:val="en-US"/>
        </w:rPr>
        <w:t xml:space="preserve"> M.I., Basov A.A. Change of parameters in </w:t>
      </w:r>
      <w:proofErr w:type="spellStart"/>
      <w:r w:rsidRPr="007D66B4">
        <w:rPr>
          <w:rStyle w:val="FontStyle228"/>
          <w:i/>
          <w:color w:val="auto"/>
          <w:sz w:val="28"/>
          <w:szCs w:val="28"/>
          <w:lang w:val="en-US"/>
        </w:rPr>
        <w:t>prooxidant</w:t>
      </w:r>
      <w:proofErr w:type="spellEnd"/>
      <w:r w:rsidRPr="007D66B4">
        <w:rPr>
          <w:rStyle w:val="FontStyle228"/>
          <w:i/>
          <w:color w:val="auto"/>
          <w:sz w:val="28"/>
          <w:szCs w:val="28"/>
          <w:lang w:val="en-US"/>
        </w:rPr>
        <w:t>-antioxidant bile system in patients with the obstruction of bile-excreting ducts</w:t>
      </w:r>
      <w:r w:rsidR="00DA75C5" w:rsidRPr="007D66B4">
        <w:rPr>
          <w:rStyle w:val="FontStyle228"/>
          <w:i/>
          <w:color w:val="auto"/>
          <w:sz w:val="28"/>
          <w:szCs w:val="28"/>
          <w:lang w:val="en-US"/>
        </w:rPr>
        <w:t xml:space="preserve"> // </w:t>
      </w:r>
      <w:r w:rsidR="00DA75C5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Medical news of North Caucasus. – </w:t>
      </w:r>
      <w:r w:rsidRPr="007D66B4">
        <w:rPr>
          <w:rStyle w:val="FontStyle228"/>
          <w:i/>
          <w:color w:val="auto"/>
          <w:sz w:val="28"/>
          <w:szCs w:val="28"/>
          <w:lang w:val="en-US"/>
        </w:rPr>
        <w:t>2015</w:t>
      </w:r>
      <w:r w:rsidR="00DA75C5" w:rsidRPr="007D66B4">
        <w:rPr>
          <w:rStyle w:val="FontStyle228"/>
          <w:i/>
          <w:color w:val="auto"/>
          <w:sz w:val="28"/>
          <w:szCs w:val="28"/>
          <w:lang w:val="en-US"/>
        </w:rPr>
        <w:t xml:space="preserve">. – Vol. </w:t>
      </w:r>
      <w:r w:rsidRPr="007D66B4">
        <w:rPr>
          <w:rStyle w:val="FontStyle228"/>
          <w:i/>
          <w:color w:val="auto"/>
          <w:sz w:val="28"/>
          <w:szCs w:val="28"/>
          <w:lang w:val="en-US"/>
        </w:rPr>
        <w:t>10</w:t>
      </w:r>
      <w:r w:rsidR="00DA75C5" w:rsidRPr="007D66B4">
        <w:rPr>
          <w:rStyle w:val="FontStyle228"/>
          <w:i/>
          <w:color w:val="auto"/>
          <w:sz w:val="28"/>
          <w:szCs w:val="28"/>
          <w:lang w:val="en-US"/>
        </w:rPr>
        <w:t xml:space="preserve">, </w:t>
      </w:r>
      <w:proofErr w:type="spellStart"/>
      <w:r w:rsidR="00DA75C5" w:rsidRPr="007D66B4">
        <w:rPr>
          <w:rStyle w:val="FontStyle228"/>
          <w:i/>
          <w:color w:val="auto"/>
          <w:sz w:val="28"/>
          <w:szCs w:val="28"/>
          <w:lang w:val="en-US"/>
        </w:rPr>
        <w:t>Iss</w:t>
      </w:r>
      <w:proofErr w:type="spellEnd"/>
      <w:r w:rsidR="00DA75C5" w:rsidRPr="007D66B4">
        <w:rPr>
          <w:rStyle w:val="FontStyle228"/>
          <w:i/>
          <w:color w:val="auto"/>
          <w:sz w:val="28"/>
          <w:szCs w:val="28"/>
          <w:lang w:val="en-US"/>
        </w:rPr>
        <w:t xml:space="preserve">. </w:t>
      </w:r>
      <w:r w:rsidRPr="007D66B4">
        <w:rPr>
          <w:rStyle w:val="FontStyle228"/>
          <w:i/>
          <w:color w:val="auto"/>
          <w:sz w:val="28"/>
          <w:szCs w:val="28"/>
          <w:lang w:val="en-US"/>
        </w:rPr>
        <w:t>2</w:t>
      </w:r>
      <w:r w:rsidR="00DA75C5" w:rsidRPr="007D66B4">
        <w:rPr>
          <w:rStyle w:val="FontStyle228"/>
          <w:i/>
          <w:color w:val="auto"/>
          <w:sz w:val="28"/>
          <w:szCs w:val="28"/>
          <w:lang w:val="en-US"/>
        </w:rPr>
        <w:t xml:space="preserve">. – P. </w:t>
      </w:r>
      <w:r w:rsidRPr="007D66B4">
        <w:rPr>
          <w:rStyle w:val="FontStyle228"/>
          <w:i/>
          <w:color w:val="auto"/>
          <w:sz w:val="28"/>
          <w:szCs w:val="28"/>
          <w:lang w:val="en-US"/>
        </w:rPr>
        <w:t>131-135.</w:t>
      </w:r>
    </w:p>
    <w:p w:rsidR="007D75D6" w:rsidRPr="007D66B4" w:rsidRDefault="007C18FC" w:rsidP="00F467FF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</w:pP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Bykova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N.I., Basov A.A.,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Melkonyan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K.I.,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Alekseenko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E.A., Popov K.A.,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Bykov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I.M. </w:t>
      </w:r>
      <w:r w:rsidR="007D75D6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Non-invasive monitoring for local immune and antioxidant resistance in patients with ischemic heart disease and type 2 diabetes</w:t>
      </w:r>
      <w:r w:rsidR="00120AD0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// </w:t>
      </w:r>
      <w:r w:rsidR="007D75D6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Medical news of North Caucasus. – 2016. – Vol. 11, </w:t>
      </w:r>
      <w:proofErr w:type="spellStart"/>
      <w:r w:rsidR="007D75D6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Iss</w:t>
      </w:r>
      <w:proofErr w:type="spellEnd"/>
      <w:r w:rsidR="007D75D6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. 2. – P. 147-149.</w:t>
      </w:r>
    </w:p>
    <w:p w:rsidR="00475988" w:rsidRPr="007D66B4" w:rsidRDefault="00475988" w:rsidP="00F467FF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</w:pPr>
      <w:r w:rsidRPr="007D66B4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Cao L.,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lang w:val="en-US" w:eastAsia="ru-RU"/>
        </w:rPr>
        <w:t>Quan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X.B., </w:t>
      </w:r>
      <w:proofErr w:type="spellStart"/>
      <w:r w:rsidR="00B23C46" w:rsidRPr="007D66B4">
        <w:rPr>
          <w:rFonts w:ascii="Times New Roman" w:hAnsi="Times New Roman" w:cs="Times New Roman"/>
          <w:i/>
          <w:sz w:val="28"/>
          <w:szCs w:val="28"/>
          <w:lang w:val="en-US" w:eastAsia="ru-RU"/>
        </w:rPr>
        <w:t>Zeng</w:t>
      </w:r>
      <w:proofErr w:type="spellEnd"/>
      <w:r w:rsidR="00B23C46" w:rsidRPr="007D66B4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W.J., Yang X.O., Wang M.J.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Mec</w:t>
      </w:r>
      <w:r w:rsidR="0001234E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hanism of hepatocyte a</w:t>
      </w:r>
      <w:r w:rsidR="00B23C46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poptosis //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Journal of Cell Death</w:t>
      </w:r>
      <w:r w:rsidR="00B23C46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. –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2016</w:t>
      </w:r>
      <w:r w:rsidR="00B23C46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. – Vol.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9</w:t>
      </w:r>
      <w:r w:rsidR="00B23C46"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. – P.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19-29. </w:t>
      </w:r>
    </w:p>
    <w:p w:rsidR="00475988" w:rsidRPr="007D66B4" w:rsidRDefault="00475988" w:rsidP="00F467FF">
      <w:pPr>
        <w:pStyle w:val="1"/>
        <w:numPr>
          <w:ilvl w:val="0"/>
          <w:numId w:val="3"/>
        </w:numPr>
        <w:shd w:val="clear" w:color="auto" w:fill="FFFFFF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Donadon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M.,</w:t>
      </w:r>
      <w:r w:rsidRPr="007D66B4">
        <w:rPr>
          <w:rStyle w:val="apple-converted-space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Molinari A.F.,</w:t>
      </w:r>
      <w:r w:rsidRPr="007D66B4">
        <w:rPr>
          <w:rStyle w:val="apple-converted-space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Corazzi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F.,</w:t>
      </w:r>
      <w:r w:rsidRPr="007D66B4">
        <w:rPr>
          <w:rStyle w:val="apple-converted-space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Rocchi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L.,</w:t>
      </w:r>
      <w:r w:rsidRPr="007D66B4">
        <w:rPr>
          <w:rStyle w:val="apple-converted-space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Zito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P.,</w:t>
      </w:r>
      <w:r w:rsidRPr="007D66B4">
        <w:rPr>
          <w:rStyle w:val="apple-converted-space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Cimino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M., Cos</w:t>
      </w:r>
      <w:r w:rsidR="00966E57"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ta G., Raimondi F., </w:t>
      </w:r>
      <w:proofErr w:type="spellStart"/>
      <w:r w:rsidR="00966E57"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Torzilli</w:t>
      </w:r>
      <w:proofErr w:type="spellEnd"/>
      <w:r w:rsidR="00966E57"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G. </w:t>
      </w:r>
      <w:r w:rsidR="00DC286A"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Pharmacological modulation of ischemic-reperfusion injury during Pringle maneuver in hepatic surgery. A p</w:t>
      </w:r>
      <w:r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rospective </w:t>
      </w:r>
      <w:r w:rsidR="00DC286A"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randomized pilot s</w:t>
      </w:r>
      <w:r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tudy</w:t>
      </w:r>
      <w:r w:rsidR="00B23C46"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// World Journal of Surgery. – </w:t>
      </w:r>
      <w:r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2016</w:t>
      </w:r>
      <w:r w:rsidR="00B23C46"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. – Vol. </w:t>
      </w:r>
      <w:r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40</w:t>
      </w:r>
      <w:r w:rsidR="00B23C46"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, </w:t>
      </w:r>
      <w:proofErr w:type="spellStart"/>
      <w:r w:rsidR="00B23C46"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Iss</w:t>
      </w:r>
      <w:proofErr w:type="spellEnd"/>
      <w:r w:rsidR="00B23C46"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. </w:t>
      </w:r>
      <w:r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9</w:t>
      </w:r>
      <w:r w:rsidR="00DD0548"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. – </w:t>
      </w:r>
      <w:r w:rsidR="00B23C46"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P.</w:t>
      </w:r>
      <w:r w:rsidR="00966E57"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2202-2212. </w:t>
      </w:r>
    </w:p>
    <w:p w:rsidR="002B75E4" w:rsidRPr="007D66B4" w:rsidRDefault="002B75E4" w:rsidP="00F467FF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Li J., Li R.J.,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Lv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G.Y., Liu H.Q. The mechanisms and strategies to protect from hepat</w:t>
      </w:r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ic ischemia-reperfusion injury // </w:t>
      </w:r>
      <w:r w:rsidRPr="007D66B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European Review for Medical and </w:t>
      </w:r>
      <w:r w:rsidRPr="007D66B4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Pharmacological Sciences</w:t>
      </w:r>
      <w:r w:rsidR="00966E57" w:rsidRPr="007D66B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–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2015</w:t>
      </w:r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– Vol.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19</w:t>
      </w:r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>, №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11</w:t>
      </w:r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– P.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2036</w:t>
      </w:r>
      <w:r w:rsidR="00DD0548" w:rsidRPr="007D66B4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2047.</w:t>
      </w:r>
    </w:p>
    <w:p w:rsidR="002B75E4" w:rsidRPr="007D66B4" w:rsidRDefault="002B75E4" w:rsidP="00F467F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Saidi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R.F.,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Kenari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S.K.H. Liver ischemia/r</w:t>
      </w:r>
      <w:r w:rsidR="00966E57"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eperfusion injury: an overview //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Journal of Investigative Surgery</w:t>
      </w:r>
      <w:r w:rsidR="00966E57"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–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2014</w:t>
      </w:r>
      <w:r w:rsidR="00966E57"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– Vol.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27</w:t>
      </w:r>
      <w:r w:rsidR="00966E57"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proofErr w:type="spellStart"/>
      <w:r w:rsidR="00966E57"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Iss</w:t>
      </w:r>
      <w:proofErr w:type="spellEnd"/>
      <w:r w:rsidR="00966E57"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6</w:t>
      </w:r>
      <w:r w:rsidR="00966E57"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– P.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366-379.</w:t>
      </w:r>
    </w:p>
    <w:p w:rsidR="00246FA3" w:rsidRPr="007D66B4" w:rsidRDefault="002B75E4" w:rsidP="007D66B4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</w:pP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Salamon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S.,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Podbregar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E.,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Kubatka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P.,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Büsselberg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D.,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Caprnda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M.,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Opatrilova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R.,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Valentova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V.,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Adamek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M.,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Kruzliak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P.,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Podbregar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M. </w:t>
      </w:r>
      <w:r w:rsidR="00246FA3" w:rsidRPr="007D66B4">
        <w:rPr>
          <w:rFonts w:ascii="Times New Roman" w:hAnsi="Times New Roman" w:cs="Times New Roman"/>
          <w:i/>
          <w:sz w:val="28"/>
          <w:szCs w:val="28"/>
          <w:lang w:val="en-US"/>
        </w:rPr>
        <w:t>Glucose metabolism in cancer and ischemia: possible therapeutic c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ons</w:t>
      </w:r>
      <w:r w:rsidR="00246FA3" w:rsidRPr="007D66B4">
        <w:rPr>
          <w:rFonts w:ascii="Times New Roman" w:hAnsi="Times New Roman" w:cs="Times New Roman"/>
          <w:i/>
          <w:sz w:val="28"/>
          <w:szCs w:val="28"/>
          <w:lang w:val="en-US"/>
        </w:rPr>
        <w:t>equences of the Warburg e</w:t>
      </w:r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ffect //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Nutrition and Cancer</w:t>
      </w:r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–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2017</w:t>
      </w:r>
      <w:r w:rsidR="00246FA3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– </w:t>
      </w:r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Vol.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69</w:t>
      </w:r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>Iss</w:t>
      </w:r>
      <w:proofErr w:type="spellEnd"/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246FA3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– </w:t>
      </w:r>
      <w:r w:rsidR="00966E57"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P.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177-183.</w:t>
      </w:r>
    </w:p>
    <w:p w:rsidR="00216DF4" w:rsidRPr="007D66B4" w:rsidRDefault="00216DF4" w:rsidP="007D66B4">
      <w:pPr>
        <w:widowControl w:val="0"/>
        <w:adjustRightInd w:val="0"/>
        <w:spacing w:after="0" w:line="360" w:lineRule="auto"/>
        <w:ind w:firstLine="709"/>
        <w:textAlignment w:val="baseline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7D66B4"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  <w:t>Literature</w:t>
      </w:r>
      <w:r w:rsidR="007D66B4" w:rsidRPr="007D66B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551F0F" w:rsidRPr="007D66B4" w:rsidRDefault="00551F0F" w:rsidP="00551F0F">
      <w:pPr>
        <w:pStyle w:val="a5"/>
        <w:widowControl w:val="0"/>
        <w:numPr>
          <w:ilvl w:val="0"/>
          <w:numId w:val="1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</w:pP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Basov A.A.,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Pavlyuchenko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I.I.,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Plaxin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A.M.,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Fedosov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S.R. Using the analog-to-digital converter in the system for collecting and processing data from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chemiluminitester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LT-01 // Bulletin of New Medical Technologies. – 2003. – Vol. 10, №4. – P. 67-68.</w:t>
      </w:r>
    </w:p>
    <w:p w:rsidR="00883488" w:rsidRPr="007D66B4" w:rsidRDefault="00883488" w:rsidP="00551F0F">
      <w:pPr>
        <w:pStyle w:val="Pa19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Pisetska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M.E.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Application of vascular liver exclusion during liver resection // International medical journal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– 2014. – №3. – </w:t>
      </w:r>
      <w:r w:rsidR="00216DF4" w:rsidRPr="007D66B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. 67-71.</w:t>
      </w:r>
    </w:p>
    <w:p w:rsidR="00CD4519" w:rsidRPr="007D66B4" w:rsidRDefault="00CD4519" w:rsidP="00551F0F">
      <w:pPr>
        <w:pStyle w:val="a5"/>
        <w:widowControl w:val="0"/>
        <w:numPr>
          <w:ilvl w:val="0"/>
          <w:numId w:val="1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</w:pP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Basov A.A.,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Akopova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V.A.,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Bykov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I.M. Changing the parameters of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prooxidant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-antioxidant system in blood and oral fluid of patients with ischemic heart disease and type 2 diabetes mellitus // International Journal on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Immunorehabilitation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. – 2013. – Vol. 15, №2. – P. 84-86.</w:t>
      </w:r>
    </w:p>
    <w:p w:rsidR="00CD4519" w:rsidRPr="007D66B4" w:rsidRDefault="00CD4519" w:rsidP="00551F0F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FontStyle228"/>
          <w:i/>
          <w:color w:val="auto"/>
          <w:sz w:val="28"/>
          <w:szCs w:val="28"/>
          <w:lang w:val="en-US"/>
        </w:rPr>
      </w:pPr>
      <w:proofErr w:type="spellStart"/>
      <w:r w:rsidRPr="007D66B4">
        <w:rPr>
          <w:rStyle w:val="FontStyle228"/>
          <w:i/>
          <w:color w:val="auto"/>
          <w:sz w:val="28"/>
          <w:szCs w:val="28"/>
          <w:lang w:val="en-US"/>
        </w:rPr>
        <w:t>Bykov</w:t>
      </w:r>
      <w:proofErr w:type="spellEnd"/>
      <w:r w:rsidRPr="007D66B4">
        <w:rPr>
          <w:rStyle w:val="FontStyle228"/>
          <w:i/>
          <w:color w:val="auto"/>
          <w:sz w:val="28"/>
          <w:szCs w:val="28"/>
          <w:lang w:val="en-US"/>
        </w:rPr>
        <w:t xml:space="preserve"> M.I., Basov A.A. Change of parameters in </w:t>
      </w:r>
      <w:proofErr w:type="spellStart"/>
      <w:r w:rsidRPr="007D66B4">
        <w:rPr>
          <w:rStyle w:val="FontStyle228"/>
          <w:i/>
          <w:color w:val="auto"/>
          <w:sz w:val="28"/>
          <w:szCs w:val="28"/>
          <w:lang w:val="en-US"/>
        </w:rPr>
        <w:t>prooxidant</w:t>
      </w:r>
      <w:proofErr w:type="spellEnd"/>
      <w:r w:rsidRPr="007D66B4">
        <w:rPr>
          <w:rStyle w:val="FontStyle228"/>
          <w:i/>
          <w:color w:val="auto"/>
          <w:sz w:val="28"/>
          <w:szCs w:val="28"/>
          <w:lang w:val="en-US"/>
        </w:rPr>
        <w:t xml:space="preserve">-antioxidant bile system in patients with the obstruction of bile-excreting ducts //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Medical news of North Caucasus. – </w:t>
      </w:r>
      <w:r w:rsidRPr="007D66B4">
        <w:rPr>
          <w:rStyle w:val="FontStyle228"/>
          <w:i/>
          <w:color w:val="auto"/>
          <w:sz w:val="28"/>
          <w:szCs w:val="28"/>
          <w:lang w:val="en-US"/>
        </w:rPr>
        <w:t xml:space="preserve">2015. – Vol. 10, </w:t>
      </w:r>
      <w:proofErr w:type="spellStart"/>
      <w:r w:rsidRPr="007D66B4">
        <w:rPr>
          <w:rStyle w:val="FontStyle228"/>
          <w:i/>
          <w:color w:val="auto"/>
          <w:sz w:val="28"/>
          <w:szCs w:val="28"/>
          <w:lang w:val="en-US"/>
        </w:rPr>
        <w:t>Iss</w:t>
      </w:r>
      <w:proofErr w:type="spellEnd"/>
      <w:r w:rsidRPr="007D66B4">
        <w:rPr>
          <w:rStyle w:val="FontStyle228"/>
          <w:i/>
          <w:color w:val="auto"/>
          <w:sz w:val="28"/>
          <w:szCs w:val="28"/>
          <w:lang w:val="en-US"/>
        </w:rPr>
        <w:t>. 2. – P. 131-135.</w:t>
      </w:r>
    </w:p>
    <w:p w:rsidR="00CD4519" w:rsidRPr="007D66B4" w:rsidRDefault="00CD4519" w:rsidP="00551F0F">
      <w:pPr>
        <w:pStyle w:val="a5"/>
        <w:widowControl w:val="0"/>
        <w:numPr>
          <w:ilvl w:val="0"/>
          <w:numId w:val="1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</w:pP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Bykova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N.I., Basov A.A.,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Melkonyan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K.I.,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Alekseenko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E.A., Popov K.A.,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Bykov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 I.M. Non-invasive monitoring for local immune and antioxidant resistance in patients with ischemic heart disease and type 2 diabetes // Medical news of North Caucasus. – 2016. – Vol. 11,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Iss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>. 2. – P. 147-149.</w:t>
      </w:r>
    </w:p>
    <w:p w:rsidR="00CD4519" w:rsidRPr="007D66B4" w:rsidRDefault="00CD4519" w:rsidP="00551F0F">
      <w:pPr>
        <w:pStyle w:val="a5"/>
        <w:widowControl w:val="0"/>
        <w:numPr>
          <w:ilvl w:val="0"/>
          <w:numId w:val="1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</w:pPr>
      <w:r w:rsidRPr="007D66B4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Cao L.,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lang w:val="en-US" w:eastAsia="ru-RU"/>
        </w:rPr>
        <w:t>Quan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X.B.,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lang w:val="en-US" w:eastAsia="ru-RU"/>
        </w:rPr>
        <w:t>Zeng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W.J., Yang X.O., Wang M.J. </w:t>
      </w:r>
      <w:r w:rsidRPr="007D66B4"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  <w:t xml:space="preserve">Mechanism of hepatocyte apoptosis // Journal of Cell Death. – 2016. – Vol. 9. – P. 19-29. </w:t>
      </w:r>
    </w:p>
    <w:p w:rsidR="00CD4519" w:rsidRPr="007D66B4" w:rsidRDefault="00CD4519" w:rsidP="00551F0F">
      <w:pPr>
        <w:pStyle w:val="1"/>
        <w:numPr>
          <w:ilvl w:val="0"/>
          <w:numId w:val="10"/>
        </w:numPr>
        <w:shd w:val="clear" w:color="auto" w:fill="FFFFFF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Donadon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M.,</w:t>
      </w:r>
      <w:r w:rsidRPr="007D66B4">
        <w:rPr>
          <w:rStyle w:val="apple-converted-space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Molinari A.F.,</w:t>
      </w:r>
      <w:r w:rsidRPr="007D66B4">
        <w:rPr>
          <w:rStyle w:val="apple-converted-space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Corazzi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F.,</w:t>
      </w:r>
      <w:r w:rsidRPr="007D66B4">
        <w:rPr>
          <w:rStyle w:val="apple-converted-space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Rocchi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L.,</w:t>
      </w:r>
      <w:r w:rsidRPr="007D66B4">
        <w:rPr>
          <w:rStyle w:val="apple-converted-space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Zito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P.,</w:t>
      </w:r>
      <w:r w:rsidRPr="007D66B4">
        <w:rPr>
          <w:rStyle w:val="apple-converted-space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Cimino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M., Costa G., Raimondi F., </w:t>
      </w: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>Torzilli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en-US"/>
        </w:rPr>
        <w:t xml:space="preserve"> G. </w:t>
      </w:r>
      <w:r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Pharmacological modulation of ischemic-reperfusion injury during Pringle maneuver in hepatic surgery. A prospective </w:t>
      </w:r>
      <w:r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lastRenderedPageBreak/>
        <w:t xml:space="preserve">randomized pilot study // World Journal of Surgery. – 2016. – Vol. 40, </w:t>
      </w:r>
      <w:proofErr w:type="spellStart"/>
      <w:r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Iss</w:t>
      </w:r>
      <w:proofErr w:type="spellEnd"/>
      <w:r w:rsidRPr="007D66B4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. 9. – P. 2202-2212. </w:t>
      </w:r>
    </w:p>
    <w:p w:rsidR="00CD4519" w:rsidRPr="007D66B4" w:rsidRDefault="00CD4519" w:rsidP="00551F0F">
      <w:pPr>
        <w:pStyle w:val="a5"/>
        <w:widowControl w:val="0"/>
        <w:numPr>
          <w:ilvl w:val="0"/>
          <w:numId w:val="1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Li J., Li R.J.,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Lv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G.Y., Liu H.Q. The mechanisms and strategies to protect from hepatic ischemia-reperfusion injury // </w:t>
      </w:r>
      <w:r w:rsidRPr="007D66B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European Review for Medical and Pharmacological Sciences. –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2015. – Vol. 19, №11. – P. 2036-2047.</w:t>
      </w:r>
    </w:p>
    <w:p w:rsidR="00CD4519" w:rsidRPr="007D66B4" w:rsidRDefault="00CD4519" w:rsidP="00551F0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Saidi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R.F.,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Kenari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S.K.H. Liver ischemia/reperfusion injury: an overview // Journal of Investigative Surgery. – 2014. – Vol. 27, </w:t>
      </w:r>
      <w:proofErr w:type="spellStart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Iss</w:t>
      </w:r>
      <w:proofErr w:type="spellEnd"/>
      <w:r w:rsidRPr="007D66B4">
        <w:rPr>
          <w:rFonts w:ascii="Times New Roman" w:hAnsi="Times New Roman" w:cs="Times New Roman"/>
          <w:bCs/>
          <w:i/>
          <w:sz w:val="28"/>
          <w:szCs w:val="28"/>
          <w:lang w:val="en-US"/>
        </w:rPr>
        <w:t>. 6. – P. 366-379.</w:t>
      </w:r>
    </w:p>
    <w:p w:rsidR="00CD4519" w:rsidRPr="007D66B4" w:rsidRDefault="00CD4519" w:rsidP="00551F0F">
      <w:pPr>
        <w:pStyle w:val="a5"/>
        <w:widowControl w:val="0"/>
        <w:numPr>
          <w:ilvl w:val="0"/>
          <w:numId w:val="1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lang w:val="en-US" w:eastAsia="ru-RU"/>
        </w:rPr>
      </w:pP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Salamon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S.,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Podbregar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E.,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Kubatka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P.,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Büsselberg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D.,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Caprnda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M.,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Opatrilova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R.,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Valentova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V.,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Adamek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M.,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Kruzliak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P.,</w:t>
      </w:r>
      <w:r w:rsidRPr="007D66B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Podbregar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M. </w:t>
      </w:r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Glucose metabolism in cancer and ischemia: possible therapeutic consequences of the Warburg effect // Nutrition and Cancer. – 2017. – Vol. 69, </w:t>
      </w:r>
      <w:proofErr w:type="spellStart"/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Iss</w:t>
      </w:r>
      <w:proofErr w:type="spellEnd"/>
      <w:r w:rsidRPr="007D66B4">
        <w:rPr>
          <w:rFonts w:ascii="Times New Roman" w:hAnsi="Times New Roman" w:cs="Times New Roman"/>
          <w:i/>
          <w:sz w:val="28"/>
          <w:szCs w:val="28"/>
          <w:lang w:val="en-US"/>
        </w:rPr>
        <w:t>. 2. – P. 177-183.</w:t>
      </w:r>
    </w:p>
    <w:p w:rsidR="004D2990" w:rsidRPr="00DD437C" w:rsidRDefault="004D2990" w:rsidP="00551F0F">
      <w:pPr>
        <w:pStyle w:val="a5"/>
        <w:widowControl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4D2990" w:rsidRPr="00DD437C" w:rsidRDefault="004D2990" w:rsidP="00551F0F">
      <w:pPr>
        <w:pStyle w:val="a5"/>
        <w:widowControl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CD4519" w:rsidRPr="00172F04" w:rsidRDefault="00CD4519" w:rsidP="00551F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83488" w:rsidRPr="00172F04" w:rsidRDefault="00883488" w:rsidP="00551F0F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p w:rsidR="00306E7E" w:rsidRPr="00172F04" w:rsidRDefault="00306E7E" w:rsidP="00551F0F">
      <w:pPr>
        <w:pStyle w:val="a5"/>
        <w:widowControl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p w:rsidR="007D75D6" w:rsidRPr="00172F04" w:rsidRDefault="007D75D6" w:rsidP="00551F0F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p w:rsidR="003652B2" w:rsidRPr="00172F04" w:rsidRDefault="003652B2" w:rsidP="00551F0F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p w:rsidR="005B5123" w:rsidRPr="00172F04" w:rsidRDefault="005B5123" w:rsidP="00551F0F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p w:rsidR="005B5123" w:rsidRPr="00172F04" w:rsidRDefault="005B5123" w:rsidP="00551F0F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p w:rsidR="005B5123" w:rsidRPr="00172F04" w:rsidRDefault="005B5123" w:rsidP="00551F0F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p w:rsidR="005B5123" w:rsidRPr="00172F04" w:rsidRDefault="005B5123" w:rsidP="00551F0F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sectPr w:rsidR="005B5123" w:rsidRPr="00172F04" w:rsidSect="0025639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36" w:rsidRDefault="00817A36" w:rsidP="003862F1">
      <w:pPr>
        <w:spacing w:after="0" w:line="240" w:lineRule="auto"/>
      </w:pPr>
      <w:r>
        <w:separator/>
      </w:r>
    </w:p>
  </w:endnote>
  <w:endnote w:type="continuationSeparator" w:id="1">
    <w:p w:rsidR="00817A36" w:rsidRDefault="00817A36" w:rsidP="0038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623992"/>
    </w:sdtPr>
    <w:sdtContent>
      <w:p w:rsidR="00256396" w:rsidRDefault="00F6730E">
        <w:pPr>
          <w:pStyle w:val="a9"/>
          <w:jc w:val="center"/>
        </w:pPr>
        <w:r>
          <w:fldChar w:fldCharType="begin"/>
        </w:r>
        <w:r w:rsidR="00256396">
          <w:instrText>PAGE   \* MERGEFORMAT</w:instrText>
        </w:r>
        <w:r>
          <w:fldChar w:fldCharType="separate"/>
        </w:r>
        <w:r w:rsidR="00147354">
          <w:rPr>
            <w:noProof/>
          </w:rPr>
          <w:t>6</w:t>
        </w:r>
        <w:r>
          <w:fldChar w:fldCharType="end"/>
        </w:r>
      </w:p>
    </w:sdtContent>
  </w:sdt>
  <w:p w:rsidR="003862F1" w:rsidRDefault="003862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36" w:rsidRDefault="00817A36" w:rsidP="003862F1">
      <w:pPr>
        <w:spacing w:after="0" w:line="240" w:lineRule="auto"/>
      </w:pPr>
      <w:r>
        <w:separator/>
      </w:r>
    </w:p>
  </w:footnote>
  <w:footnote w:type="continuationSeparator" w:id="1">
    <w:p w:rsidR="00817A36" w:rsidRDefault="00817A36" w:rsidP="0038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49F"/>
    <w:multiLevelType w:val="hybridMultilevel"/>
    <w:tmpl w:val="0028682E"/>
    <w:lvl w:ilvl="0" w:tplc="00E260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72A80"/>
    <w:multiLevelType w:val="hybridMultilevel"/>
    <w:tmpl w:val="1C7C2F98"/>
    <w:lvl w:ilvl="0" w:tplc="00E260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056A"/>
    <w:multiLevelType w:val="hybridMultilevel"/>
    <w:tmpl w:val="BABC5AA0"/>
    <w:lvl w:ilvl="0" w:tplc="4536BE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41DA6"/>
    <w:multiLevelType w:val="hybridMultilevel"/>
    <w:tmpl w:val="BBF2EB64"/>
    <w:lvl w:ilvl="0" w:tplc="9B9892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80276"/>
    <w:multiLevelType w:val="hybridMultilevel"/>
    <w:tmpl w:val="0028682E"/>
    <w:lvl w:ilvl="0" w:tplc="00E260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308C0"/>
    <w:multiLevelType w:val="hybridMultilevel"/>
    <w:tmpl w:val="0028682E"/>
    <w:lvl w:ilvl="0" w:tplc="00E260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DE5"/>
    <w:multiLevelType w:val="hybridMultilevel"/>
    <w:tmpl w:val="B816BEE8"/>
    <w:lvl w:ilvl="0" w:tplc="744CE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139B8"/>
    <w:multiLevelType w:val="hybridMultilevel"/>
    <w:tmpl w:val="889C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92E21"/>
    <w:multiLevelType w:val="hybridMultilevel"/>
    <w:tmpl w:val="E7680A02"/>
    <w:lvl w:ilvl="0" w:tplc="00E260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A3F9A"/>
    <w:multiLevelType w:val="hybridMultilevel"/>
    <w:tmpl w:val="3098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8D1"/>
    <w:rsid w:val="00000A20"/>
    <w:rsid w:val="00004DFC"/>
    <w:rsid w:val="00006367"/>
    <w:rsid w:val="0001234E"/>
    <w:rsid w:val="000271FD"/>
    <w:rsid w:val="00040343"/>
    <w:rsid w:val="00042629"/>
    <w:rsid w:val="00054C59"/>
    <w:rsid w:val="00060AC1"/>
    <w:rsid w:val="0006730E"/>
    <w:rsid w:val="000701BE"/>
    <w:rsid w:val="00081057"/>
    <w:rsid w:val="00081A47"/>
    <w:rsid w:val="00083070"/>
    <w:rsid w:val="000844A7"/>
    <w:rsid w:val="00090597"/>
    <w:rsid w:val="000A2016"/>
    <w:rsid w:val="000A70B0"/>
    <w:rsid w:val="000B74F1"/>
    <w:rsid w:val="000C0D2C"/>
    <w:rsid w:val="000C2444"/>
    <w:rsid w:val="000D3FC6"/>
    <w:rsid w:val="000F1592"/>
    <w:rsid w:val="000F5207"/>
    <w:rsid w:val="000F7210"/>
    <w:rsid w:val="00103876"/>
    <w:rsid w:val="00113677"/>
    <w:rsid w:val="00120AD0"/>
    <w:rsid w:val="0012614C"/>
    <w:rsid w:val="0013384F"/>
    <w:rsid w:val="00141F5A"/>
    <w:rsid w:val="00147354"/>
    <w:rsid w:val="001515E5"/>
    <w:rsid w:val="0015217F"/>
    <w:rsid w:val="00160337"/>
    <w:rsid w:val="0017093B"/>
    <w:rsid w:val="00172F04"/>
    <w:rsid w:val="00175C52"/>
    <w:rsid w:val="001A454F"/>
    <w:rsid w:val="001B2FE7"/>
    <w:rsid w:val="001C4D11"/>
    <w:rsid w:val="001C703D"/>
    <w:rsid w:val="001D013C"/>
    <w:rsid w:val="001F2A80"/>
    <w:rsid w:val="00211B1E"/>
    <w:rsid w:val="002127FF"/>
    <w:rsid w:val="00216DF4"/>
    <w:rsid w:val="002256A5"/>
    <w:rsid w:val="002429E0"/>
    <w:rsid w:val="00246FA3"/>
    <w:rsid w:val="0025003D"/>
    <w:rsid w:val="00256396"/>
    <w:rsid w:val="002612AC"/>
    <w:rsid w:val="00263950"/>
    <w:rsid w:val="0027119F"/>
    <w:rsid w:val="00272A6A"/>
    <w:rsid w:val="002754C3"/>
    <w:rsid w:val="002764F9"/>
    <w:rsid w:val="00293BD7"/>
    <w:rsid w:val="00297A8E"/>
    <w:rsid w:val="002A7460"/>
    <w:rsid w:val="002B025F"/>
    <w:rsid w:val="002B22CC"/>
    <w:rsid w:val="002B483B"/>
    <w:rsid w:val="002B75E4"/>
    <w:rsid w:val="002C368B"/>
    <w:rsid w:val="002D5AE1"/>
    <w:rsid w:val="002E76BC"/>
    <w:rsid w:val="002F2924"/>
    <w:rsid w:val="00306E7E"/>
    <w:rsid w:val="0032176D"/>
    <w:rsid w:val="003230F8"/>
    <w:rsid w:val="003269DE"/>
    <w:rsid w:val="003406E5"/>
    <w:rsid w:val="00341C6A"/>
    <w:rsid w:val="00345C5E"/>
    <w:rsid w:val="00347B42"/>
    <w:rsid w:val="00364E0A"/>
    <w:rsid w:val="003650AC"/>
    <w:rsid w:val="003652B2"/>
    <w:rsid w:val="0036774F"/>
    <w:rsid w:val="00367B01"/>
    <w:rsid w:val="00371B6F"/>
    <w:rsid w:val="003745F3"/>
    <w:rsid w:val="003776EB"/>
    <w:rsid w:val="00381A1B"/>
    <w:rsid w:val="00381CE6"/>
    <w:rsid w:val="003862F1"/>
    <w:rsid w:val="00392AE3"/>
    <w:rsid w:val="003B633E"/>
    <w:rsid w:val="003D08C3"/>
    <w:rsid w:val="003E40BC"/>
    <w:rsid w:val="003E4701"/>
    <w:rsid w:val="003F1350"/>
    <w:rsid w:val="003F2D9C"/>
    <w:rsid w:val="00402108"/>
    <w:rsid w:val="004041AE"/>
    <w:rsid w:val="0040754C"/>
    <w:rsid w:val="00431458"/>
    <w:rsid w:val="00431845"/>
    <w:rsid w:val="0043273D"/>
    <w:rsid w:val="00443495"/>
    <w:rsid w:val="0045785A"/>
    <w:rsid w:val="004631A8"/>
    <w:rsid w:val="00464C07"/>
    <w:rsid w:val="00473CFC"/>
    <w:rsid w:val="004742FD"/>
    <w:rsid w:val="00474A2D"/>
    <w:rsid w:val="00475988"/>
    <w:rsid w:val="00476A2C"/>
    <w:rsid w:val="00477EC2"/>
    <w:rsid w:val="004820E4"/>
    <w:rsid w:val="00495480"/>
    <w:rsid w:val="00496300"/>
    <w:rsid w:val="004A2921"/>
    <w:rsid w:val="004A7E3B"/>
    <w:rsid w:val="004B0E56"/>
    <w:rsid w:val="004B6B08"/>
    <w:rsid w:val="004B6BD7"/>
    <w:rsid w:val="004C177E"/>
    <w:rsid w:val="004D2990"/>
    <w:rsid w:val="004D3141"/>
    <w:rsid w:val="004D43E3"/>
    <w:rsid w:val="004D7047"/>
    <w:rsid w:val="004E2104"/>
    <w:rsid w:val="00504A36"/>
    <w:rsid w:val="00511F60"/>
    <w:rsid w:val="005148D1"/>
    <w:rsid w:val="005156A2"/>
    <w:rsid w:val="0051586A"/>
    <w:rsid w:val="00516D13"/>
    <w:rsid w:val="005215F7"/>
    <w:rsid w:val="005238C1"/>
    <w:rsid w:val="005246FB"/>
    <w:rsid w:val="005359FE"/>
    <w:rsid w:val="00541407"/>
    <w:rsid w:val="0054278D"/>
    <w:rsid w:val="00551F0F"/>
    <w:rsid w:val="005644FC"/>
    <w:rsid w:val="00565CB3"/>
    <w:rsid w:val="005665BE"/>
    <w:rsid w:val="00567693"/>
    <w:rsid w:val="00574134"/>
    <w:rsid w:val="00575F96"/>
    <w:rsid w:val="00591A2E"/>
    <w:rsid w:val="0059386E"/>
    <w:rsid w:val="005A339B"/>
    <w:rsid w:val="005B33D1"/>
    <w:rsid w:val="005B3E12"/>
    <w:rsid w:val="005B5123"/>
    <w:rsid w:val="005C1454"/>
    <w:rsid w:val="005C3DD4"/>
    <w:rsid w:val="005C40B7"/>
    <w:rsid w:val="005C5C0A"/>
    <w:rsid w:val="005C62D1"/>
    <w:rsid w:val="005C6E02"/>
    <w:rsid w:val="005D3956"/>
    <w:rsid w:val="005D43EF"/>
    <w:rsid w:val="005E6CF2"/>
    <w:rsid w:val="005F0B4B"/>
    <w:rsid w:val="0060300E"/>
    <w:rsid w:val="00611B77"/>
    <w:rsid w:val="00612892"/>
    <w:rsid w:val="00613CD5"/>
    <w:rsid w:val="00622FCC"/>
    <w:rsid w:val="00624F95"/>
    <w:rsid w:val="00630106"/>
    <w:rsid w:val="00631E81"/>
    <w:rsid w:val="0063210A"/>
    <w:rsid w:val="00633052"/>
    <w:rsid w:val="00640359"/>
    <w:rsid w:val="00640B62"/>
    <w:rsid w:val="00645BC3"/>
    <w:rsid w:val="00654BCE"/>
    <w:rsid w:val="00663D87"/>
    <w:rsid w:val="00665189"/>
    <w:rsid w:val="00682E0F"/>
    <w:rsid w:val="00684925"/>
    <w:rsid w:val="00685C4F"/>
    <w:rsid w:val="00692663"/>
    <w:rsid w:val="006927ED"/>
    <w:rsid w:val="0069664E"/>
    <w:rsid w:val="0069713D"/>
    <w:rsid w:val="006A28F7"/>
    <w:rsid w:val="006A7901"/>
    <w:rsid w:val="006A7ED2"/>
    <w:rsid w:val="006C4864"/>
    <w:rsid w:val="006D08B5"/>
    <w:rsid w:val="006F4D8F"/>
    <w:rsid w:val="006F6B3D"/>
    <w:rsid w:val="006F77AB"/>
    <w:rsid w:val="00702D61"/>
    <w:rsid w:val="00703AD1"/>
    <w:rsid w:val="007071FD"/>
    <w:rsid w:val="00723215"/>
    <w:rsid w:val="007253BD"/>
    <w:rsid w:val="007274FD"/>
    <w:rsid w:val="00732C16"/>
    <w:rsid w:val="00740435"/>
    <w:rsid w:val="007463E3"/>
    <w:rsid w:val="00752AD1"/>
    <w:rsid w:val="00754EE2"/>
    <w:rsid w:val="00764DB1"/>
    <w:rsid w:val="007800FE"/>
    <w:rsid w:val="00783370"/>
    <w:rsid w:val="00784C4D"/>
    <w:rsid w:val="00784E4E"/>
    <w:rsid w:val="007919FD"/>
    <w:rsid w:val="007A1B19"/>
    <w:rsid w:val="007A630E"/>
    <w:rsid w:val="007A68C0"/>
    <w:rsid w:val="007A7F84"/>
    <w:rsid w:val="007B7EF7"/>
    <w:rsid w:val="007C1890"/>
    <w:rsid w:val="007C18FC"/>
    <w:rsid w:val="007D065C"/>
    <w:rsid w:val="007D4B3B"/>
    <w:rsid w:val="007D66B4"/>
    <w:rsid w:val="007D75D6"/>
    <w:rsid w:val="007E0F02"/>
    <w:rsid w:val="007E4505"/>
    <w:rsid w:val="007E7A7D"/>
    <w:rsid w:val="007F337F"/>
    <w:rsid w:val="007F6C28"/>
    <w:rsid w:val="007F7BDF"/>
    <w:rsid w:val="00801220"/>
    <w:rsid w:val="00806FAF"/>
    <w:rsid w:val="00807BDB"/>
    <w:rsid w:val="00811BD1"/>
    <w:rsid w:val="00813C2C"/>
    <w:rsid w:val="00817A36"/>
    <w:rsid w:val="0082398E"/>
    <w:rsid w:val="00830983"/>
    <w:rsid w:val="008316DD"/>
    <w:rsid w:val="0084290E"/>
    <w:rsid w:val="00842B46"/>
    <w:rsid w:val="0084458B"/>
    <w:rsid w:val="00844EC9"/>
    <w:rsid w:val="00847B45"/>
    <w:rsid w:val="008519D2"/>
    <w:rsid w:val="008654C5"/>
    <w:rsid w:val="00865838"/>
    <w:rsid w:val="00867167"/>
    <w:rsid w:val="00867D2D"/>
    <w:rsid w:val="00867F7E"/>
    <w:rsid w:val="0087048E"/>
    <w:rsid w:val="00883488"/>
    <w:rsid w:val="00883AA5"/>
    <w:rsid w:val="0089451C"/>
    <w:rsid w:val="00894702"/>
    <w:rsid w:val="008A1FF5"/>
    <w:rsid w:val="008A2747"/>
    <w:rsid w:val="008A2CBA"/>
    <w:rsid w:val="008A3536"/>
    <w:rsid w:val="008A391E"/>
    <w:rsid w:val="008A74D5"/>
    <w:rsid w:val="008B4D9D"/>
    <w:rsid w:val="008B504E"/>
    <w:rsid w:val="008C1475"/>
    <w:rsid w:val="008D2647"/>
    <w:rsid w:val="008E0B3C"/>
    <w:rsid w:val="008E0F93"/>
    <w:rsid w:val="008E13BA"/>
    <w:rsid w:val="008E5FD6"/>
    <w:rsid w:val="008E6FF9"/>
    <w:rsid w:val="008F2B9C"/>
    <w:rsid w:val="00901874"/>
    <w:rsid w:val="00901AE5"/>
    <w:rsid w:val="00905287"/>
    <w:rsid w:val="00914C43"/>
    <w:rsid w:val="0091720F"/>
    <w:rsid w:val="00923E57"/>
    <w:rsid w:val="009376AC"/>
    <w:rsid w:val="00945427"/>
    <w:rsid w:val="00953EF7"/>
    <w:rsid w:val="0095479C"/>
    <w:rsid w:val="00966E57"/>
    <w:rsid w:val="0098195F"/>
    <w:rsid w:val="00990238"/>
    <w:rsid w:val="00992EC8"/>
    <w:rsid w:val="009A1F52"/>
    <w:rsid w:val="009B53CC"/>
    <w:rsid w:val="009B556D"/>
    <w:rsid w:val="009C2503"/>
    <w:rsid w:val="009C2681"/>
    <w:rsid w:val="009C3231"/>
    <w:rsid w:val="009C381C"/>
    <w:rsid w:val="009D127F"/>
    <w:rsid w:val="009E1EB3"/>
    <w:rsid w:val="009E2CD5"/>
    <w:rsid w:val="009E51D3"/>
    <w:rsid w:val="009F09C5"/>
    <w:rsid w:val="009F54C8"/>
    <w:rsid w:val="00A04141"/>
    <w:rsid w:val="00A05CEF"/>
    <w:rsid w:val="00A12709"/>
    <w:rsid w:val="00A12C6C"/>
    <w:rsid w:val="00A131ED"/>
    <w:rsid w:val="00A27C50"/>
    <w:rsid w:val="00A40523"/>
    <w:rsid w:val="00A406A3"/>
    <w:rsid w:val="00A40B88"/>
    <w:rsid w:val="00A42D44"/>
    <w:rsid w:val="00A4520E"/>
    <w:rsid w:val="00A47F56"/>
    <w:rsid w:val="00A55939"/>
    <w:rsid w:val="00A56063"/>
    <w:rsid w:val="00A562FA"/>
    <w:rsid w:val="00AA0056"/>
    <w:rsid w:val="00AA1338"/>
    <w:rsid w:val="00AA1531"/>
    <w:rsid w:val="00AA5CE9"/>
    <w:rsid w:val="00AB180E"/>
    <w:rsid w:val="00AB2D12"/>
    <w:rsid w:val="00AC742B"/>
    <w:rsid w:val="00AD38BF"/>
    <w:rsid w:val="00AD3B7D"/>
    <w:rsid w:val="00AD451F"/>
    <w:rsid w:val="00AF0E91"/>
    <w:rsid w:val="00AF75C7"/>
    <w:rsid w:val="00B23C46"/>
    <w:rsid w:val="00B31778"/>
    <w:rsid w:val="00B33025"/>
    <w:rsid w:val="00B47364"/>
    <w:rsid w:val="00B50C90"/>
    <w:rsid w:val="00B55433"/>
    <w:rsid w:val="00B6625B"/>
    <w:rsid w:val="00B80759"/>
    <w:rsid w:val="00B84225"/>
    <w:rsid w:val="00B92D35"/>
    <w:rsid w:val="00B94635"/>
    <w:rsid w:val="00BA1B9F"/>
    <w:rsid w:val="00BC17BA"/>
    <w:rsid w:val="00BC45A2"/>
    <w:rsid w:val="00BC4D14"/>
    <w:rsid w:val="00BC4E6A"/>
    <w:rsid w:val="00BC544F"/>
    <w:rsid w:val="00BC641F"/>
    <w:rsid w:val="00BC70CF"/>
    <w:rsid w:val="00BD63E5"/>
    <w:rsid w:val="00BD6AEE"/>
    <w:rsid w:val="00BE370B"/>
    <w:rsid w:val="00BE3938"/>
    <w:rsid w:val="00BE45F0"/>
    <w:rsid w:val="00BE5260"/>
    <w:rsid w:val="00BE600A"/>
    <w:rsid w:val="00BE73B4"/>
    <w:rsid w:val="00C018AB"/>
    <w:rsid w:val="00C02344"/>
    <w:rsid w:val="00C02A10"/>
    <w:rsid w:val="00C16BC6"/>
    <w:rsid w:val="00C24E16"/>
    <w:rsid w:val="00C3450B"/>
    <w:rsid w:val="00C36CC8"/>
    <w:rsid w:val="00C522ED"/>
    <w:rsid w:val="00C52EA9"/>
    <w:rsid w:val="00C576AF"/>
    <w:rsid w:val="00C61180"/>
    <w:rsid w:val="00C63EFC"/>
    <w:rsid w:val="00C65C4F"/>
    <w:rsid w:val="00C6680C"/>
    <w:rsid w:val="00C67875"/>
    <w:rsid w:val="00C75052"/>
    <w:rsid w:val="00C75537"/>
    <w:rsid w:val="00C7765D"/>
    <w:rsid w:val="00C857F0"/>
    <w:rsid w:val="00C92DF1"/>
    <w:rsid w:val="00CA4E5A"/>
    <w:rsid w:val="00CA5449"/>
    <w:rsid w:val="00CB0798"/>
    <w:rsid w:val="00CB2247"/>
    <w:rsid w:val="00CB3D5A"/>
    <w:rsid w:val="00CB45FB"/>
    <w:rsid w:val="00CB55BF"/>
    <w:rsid w:val="00CB697F"/>
    <w:rsid w:val="00CC2323"/>
    <w:rsid w:val="00CD3651"/>
    <w:rsid w:val="00CD4153"/>
    <w:rsid w:val="00CD4519"/>
    <w:rsid w:val="00CD536F"/>
    <w:rsid w:val="00CD71EA"/>
    <w:rsid w:val="00CD7B4A"/>
    <w:rsid w:val="00CE2D98"/>
    <w:rsid w:val="00CE44BB"/>
    <w:rsid w:val="00CE6A00"/>
    <w:rsid w:val="00CE7C1D"/>
    <w:rsid w:val="00CF6154"/>
    <w:rsid w:val="00D043B7"/>
    <w:rsid w:val="00D10F18"/>
    <w:rsid w:val="00D13B16"/>
    <w:rsid w:val="00D16CCC"/>
    <w:rsid w:val="00D332D6"/>
    <w:rsid w:val="00D33C7B"/>
    <w:rsid w:val="00D35C9A"/>
    <w:rsid w:val="00D67284"/>
    <w:rsid w:val="00D82DAB"/>
    <w:rsid w:val="00D91CB7"/>
    <w:rsid w:val="00D94577"/>
    <w:rsid w:val="00DA083A"/>
    <w:rsid w:val="00DA0E6D"/>
    <w:rsid w:val="00DA2100"/>
    <w:rsid w:val="00DA75C5"/>
    <w:rsid w:val="00DB08FA"/>
    <w:rsid w:val="00DB40C2"/>
    <w:rsid w:val="00DB7F19"/>
    <w:rsid w:val="00DC286A"/>
    <w:rsid w:val="00DD0548"/>
    <w:rsid w:val="00DD437C"/>
    <w:rsid w:val="00DE0D10"/>
    <w:rsid w:val="00DE73DF"/>
    <w:rsid w:val="00DF036C"/>
    <w:rsid w:val="00DF4812"/>
    <w:rsid w:val="00E00115"/>
    <w:rsid w:val="00E04BF1"/>
    <w:rsid w:val="00E14D27"/>
    <w:rsid w:val="00E1779C"/>
    <w:rsid w:val="00E2158C"/>
    <w:rsid w:val="00E24D40"/>
    <w:rsid w:val="00E4194F"/>
    <w:rsid w:val="00E44D24"/>
    <w:rsid w:val="00E467D2"/>
    <w:rsid w:val="00E51648"/>
    <w:rsid w:val="00E75301"/>
    <w:rsid w:val="00E84F19"/>
    <w:rsid w:val="00E85924"/>
    <w:rsid w:val="00E85FF8"/>
    <w:rsid w:val="00EA7520"/>
    <w:rsid w:val="00EC3C22"/>
    <w:rsid w:val="00EC72C7"/>
    <w:rsid w:val="00ED6A28"/>
    <w:rsid w:val="00ED6C3B"/>
    <w:rsid w:val="00EE01CE"/>
    <w:rsid w:val="00EE425F"/>
    <w:rsid w:val="00EF33FE"/>
    <w:rsid w:val="00F10C12"/>
    <w:rsid w:val="00F1404B"/>
    <w:rsid w:val="00F204F4"/>
    <w:rsid w:val="00F30879"/>
    <w:rsid w:val="00F319A4"/>
    <w:rsid w:val="00F444FE"/>
    <w:rsid w:val="00F467FF"/>
    <w:rsid w:val="00F55866"/>
    <w:rsid w:val="00F6730E"/>
    <w:rsid w:val="00F84DD2"/>
    <w:rsid w:val="00F85B14"/>
    <w:rsid w:val="00F95E15"/>
    <w:rsid w:val="00FA483B"/>
    <w:rsid w:val="00FA6153"/>
    <w:rsid w:val="00FB0EAD"/>
    <w:rsid w:val="00FC2CDF"/>
    <w:rsid w:val="00FC7593"/>
    <w:rsid w:val="00FD5D0C"/>
    <w:rsid w:val="00FE22FE"/>
    <w:rsid w:val="00FF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38"/>
  </w:style>
  <w:style w:type="paragraph" w:styleId="1">
    <w:name w:val="heading 1"/>
    <w:basedOn w:val="a"/>
    <w:next w:val="a"/>
    <w:link w:val="10"/>
    <w:qFormat/>
    <w:rsid w:val="00DE73D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4702"/>
    <w:pPr>
      <w:ind w:left="720"/>
      <w:contextualSpacing/>
    </w:pPr>
  </w:style>
  <w:style w:type="paragraph" w:customStyle="1" w:styleId="Pa19">
    <w:name w:val="Pa19"/>
    <w:basedOn w:val="a"/>
    <w:next w:val="a"/>
    <w:uiPriority w:val="99"/>
    <w:rsid w:val="00C92DF1"/>
    <w:pPr>
      <w:autoSpaceDE w:val="0"/>
      <w:autoSpaceDN w:val="0"/>
      <w:adjustRightInd w:val="0"/>
      <w:spacing w:after="0" w:line="201" w:lineRule="atLeast"/>
    </w:pPr>
    <w:rPr>
      <w:rFonts w:ascii="PetersburgC" w:hAnsi="Petersburg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92DF1"/>
    <w:pPr>
      <w:autoSpaceDE w:val="0"/>
      <w:autoSpaceDN w:val="0"/>
      <w:adjustRightInd w:val="0"/>
      <w:spacing w:after="0" w:line="191" w:lineRule="atLeast"/>
    </w:pPr>
    <w:rPr>
      <w:rFonts w:ascii="PetersburgC" w:hAnsi="PetersburgC"/>
      <w:sz w:val="24"/>
      <w:szCs w:val="24"/>
    </w:rPr>
  </w:style>
  <w:style w:type="character" w:customStyle="1" w:styleId="FontStyle228">
    <w:name w:val="Font Style228"/>
    <w:basedOn w:val="a0"/>
    <w:uiPriority w:val="99"/>
    <w:rsid w:val="003230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230F8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73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DE73DF"/>
  </w:style>
  <w:style w:type="character" w:styleId="a6">
    <w:name w:val="Hyperlink"/>
    <w:basedOn w:val="a0"/>
    <w:uiPriority w:val="99"/>
    <w:unhideWhenUsed/>
    <w:rsid w:val="0025003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2F1"/>
  </w:style>
  <w:style w:type="paragraph" w:styleId="a9">
    <w:name w:val="footer"/>
    <w:basedOn w:val="a"/>
    <w:link w:val="aa"/>
    <w:uiPriority w:val="99"/>
    <w:unhideWhenUsed/>
    <w:rsid w:val="0038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_ts@inbo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gor_t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B69F-FE26-4870-A765-AB4E6DF2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10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Аня</cp:lastModifiedBy>
  <cp:revision>405</cp:revision>
  <dcterms:created xsi:type="dcterms:W3CDTF">2017-02-14T15:54:00Z</dcterms:created>
  <dcterms:modified xsi:type="dcterms:W3CDTF">2017-09-29T07:47:00Z</dcterms:modified>
</cp:coreProperties>
</file>